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6ACDF6F0" w:rsidR="004328AC" w:rsidRDefault="00000000">
      <w:pPr>
        <w:tabs>
          <w:tab w:val="center" w:pos="4536"/>
          <w:tab w:val="right" w:pos="9072"/>
        </w:tabs>
        <w:spacing w:line="276" w:lineRule="auto"/>
        <w:rPr>
          <w:rFonts w:ascii="Arial" w:eastAsiaTheme="minorEastAsia" w:hAnsi="Arial" w:cs="Arial"/>
          <w:b/>
        </w:rPr>
      </w:pPr>
      <w:bookmarkStart w:id="0" w:name="Title"/>
      <w:bookmarkEnd w:id="0"/>
      <w:r>
        <w:rPr>
          <w:rFonts w:ascii="Arial" w:eastAsiaTheme="minorEastAsia" w:hAnsi="Arial" w:cs="Arial"/>
          <w:b/>
        </w:rPr>
        <w:t>3GPP TSG-RAN WG4 Meeting #11</w:t>
      </w:r>
      <w:r w:rsidR="00F74E1D">
        <w:rPr>
          <w:rFonts w:ascii="Arial" w:eastAsiaTheme="minorEastAsia" w:hAnsi="Arial" w:cs="Arial" w:hint="eastAsia"/>
          <w:b/>
        </w:rPr>
        <w:t>6</w:t>
      </w:r>
      <w:r w:rsidR="00C83B2D">
        <w:rPr>
          <w:rFonts w:ascii="Arial" w:eastAsiaTheme="minorEastAsia" w:hAnsi="Arial" w:cs="Arial" w:hint="eastAsia"/>
          <w:b/>
        </w:rPr>
        <w:t>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0B17EA" w:rsidRPr="000B17EA">
        <w:rPr>
          <w:rFonts w:ascii="Arial" w:eastAsiaTheme="minorEastAsia" w:hAnsi="Arial" w:cs="Arial" w:hint="eastAsia"/>
          <w:b/>
        </w:rPr>
        <w:t>R4-2513953</w:t>
      </w:r>
    </w:p>
    <w:p w14:paraId="2350DB65" w14:textId="77777777" w:rsidR="00C83B2D" w:rsidRPr="0052514D" w:rsidRDefault="00C83B2D" w:rsidP="00C83B2D">
      <w:pPr>
        <w:pStyle w:val="af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Pr="00CC39FD">
        <w:rPr>
          <w:rFonts w:eastAsia="宋体" w:cs="Arial"/>
          <w:sz w:val="24"/>
          <w:szCs w:val="24"/>
          <w:lang w:eastAsia="zh-CN"/>
        </w:rPr>
        <w:t>,</w:t>
      </w:r>
      <w:r>
        <w:rPr>
          <w:rFonts w:eastAsia="宋体" w:cs="Arial"/>
          <w:sz w:val="24"/>
          <w:szCs w:val="24"/>
          <w:lang w:eastAsia="zh-CN"/>
        </w:rPr>
        <w:t xml:space="preserve"> Czech Republic,</w:t>
      </w:r>
      <w:r w:rsidRPr="00CC39FD">
        <w:rPr>
          <w:rFonts w:eastAsia="宋体" w:cs="Arial"/>
          <w:sz w:val="24"/>
          <w:szCs w:val="24"/>
          <w:lang w:eastAsia="zh-CN"/>
        </w:rPr>
        <w:t xml:space="preserve"> Oct. 13-17, 2025</w:t>
      </w:r>
    </w:p>
    <w:p w14:paraId="5A14A08E" w14:textId="77777777" w:rsidR="00F74E1D" w:rsidRPr="00C83B2D" w:rsidRDefault="00F74E1D">
      <w:pPr>
        <w:tabs>
          <w:tab w:val="center" w:pos="4536"/>
          <w:tab w:val="right" w:pos="9072"/>
        </w:tabs>
        <w:spacing w:line="276" w:lineRule="auto"/>
        <w:rPr>
          <w:rFonts w:ascii="Arial" w:eastAsiaTheme="minorEastAsia" w:hAnsi="Arial" w:cs="Arial"/>
          <w:b/>
          <w:bCs/>
          <w:lang w:val="en-GB"/>
        </w:rPr>
      </w:pPr>
    </w:p>
    <w:p w14:paraId="65D03E46" w14:textId="3496B71C" w:rsidR="004328AC" w:rsidRDefault="00000000">
      <w:pPr>
        <w:tabs>
          <w:tab w:val="left" w:pos="1985"/>
        </w:tabs>
        <w:spacing w:after="120" w:line="288" w:lineRule="auto"/>
        <w:ind w:left="2040" w:hangingChars="850" w:hanging="2040"/>
        <w:jc w:val="both"/>
        <w:rPr>
          <w:rFonts w:ascii="Arial"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CC6424">
        <w:rPr>
          <w:rFonts w:ascii="Arial" w:eastAsiaTheme="minorEastAsia" w:hAnsi="Arial" w:hint="eastAsia"/>
        </w:rPr>
        <w:t>6.11.2</w:t>
      </w:r>
    </w:p>
    <w:p w14:paraId="00F1FD44" w14:textId="32E3F004" w:rsidR="004328AC" w:rsidRDefault="00000000">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sidR="00F74E1D">
        <w:rPr>
          <w:rFonts w:ascii="Arial" w:eastAsiaTheme="minorEastAsia" w:hAnsi="Arial" w:hint="eastAsia"/>
        </w:rPr>
        <w:t>CAICT</w:t>
      </w:r>
    </w:p>
    <w:p w14:paraId="5E8DDA84" w14:textId="2B2C072C" w:rsidR="004328AC" w:rsidRDefault="00000000" w:rsidP="004773F8">
      <w:pPr>
        <w:tabs>
          <w:tab w:val="left" w:pos="2100"/>
        </w:tabs>
        <w:spacing w:after="120" w:line="288" w:lineRule="auto"/>
        <w:ind w:left="2040" w:hangingChars="850" w:hanging="2040"/>
        <w:jc w:val="both"/>
        <w:rPr>
          <w:rFonts w:ascii="等线" w:eastAsiaTheme="minorEastAsia" w:hAnsi="等线" w:hint="eastAsia"/>
        </w:rPr>
      </w:pPr>
      <w:r>
        <w:rPr>
          <w:rFonts w:ascii="Arial" w:eastAsia="Malgun Gothic" w:hAnsi="Arial"/>
          <w:b/>
          <w:lang w:eastAsia="en-US"/>
        </w:rPr>
        <w:t xml:space="preserve">Title: </w:t>
      </w:r>
      <w:r w:rsidR="004773F8">
        <w:rPr>
          <w:rFonts w:ascii="Arial" w:eastAsiaTheme="minorEastAsia" w:hAnsi="Arial"/>
          <w:b/>
        </w:rPr>
        <w:tab/>
      </w:r>
      <w:r w:rsidR="004773F8">
        <w:rPr>
          <w:rFonts w:ascii="Arial" w:eastAsiaTheme="minorEastAsia" w:hAnsi="Arial" w:hint="eastAsia"/>
          <w:bCs/>
        </w:rPr>
        <w:t xml:space="preserve">Discussion on </w:t>
      </w:r>
      <w:r>
        <w:rPr>
          <w:rFonts w:ascii="Arial" w:eastAsiaTheme="minorEastAsia" w:hAnsi="Arial" w:hint="eastAsia"/>
        </w:rPr>
        <w:t xml:space="preserve">Rel-19 </w:t>
      </w:r>
      <w:r w:rsidR="00F74E1D">
        <w:rPr>
          <w:rFonts w:ascii="Arial" w:eastAsiaTheme="minorEastAsia" w:hAnsi="Arial" w:hint="eastAsia"/>
        </w:rPr>
        <w:t xml:space="preserve">RAN4 UE feature list for </w:t>
      </w:r>
      <w:bookmarkStart w:id="2" w:name="_Hlk206165373"/>
      <w:r w:rsidR="00F74E1D">
        <w:rPr>
          <w:rFonts w:ascii="Arial" w:eastAsiaTheme="minorEastAsia" w:hAnsi="Arial" w:hint="eastAsia"/>
        </w:rPr>
        <w:t>NR_AIML_air</w:t>
      </w:r>
      <w:bookmarkEnd w:id="2"/>
    </w:p>
    <w:p w14:paraId="0304D85E" w14:textId="77777777" w:rsidR="004328AC" w:rsidRDefault="00000000">
      <w:pPr>
        <w:pBdr>
          <w:bottom w:val="single" w:sz="6" w:space="1" w:color="auto"/>
        </w:pBdr>
        <w:tabs>
          <w:tab w:val="left" w:pos="1985"/>
        </w:tabs>
        <w:spacing w:after="120" w:line="288" w:lineRule="auto"/>
        <w:ind w:left="2040" w:hangingChars="850" w:hanging="2040"/>
        <w:jc w:val="both"/>
        <w:rPr>
          <w:rFonts w:ascii="Arial" w:hAnsi="Arial"/>
        </w:rPr>
      </w:pPr>
      <w:r>
        <w:rPr>
          <w:rFonts w:ascii="Arial" w:eastAsia="Malgun Gothic" w:hAnsi="Arial"/>
          <w:b/>
          <w:lang w:eastAsia="en-US"/>
        </w:rPr>
        <w:t>Document for:</w:t>
      </w:r>
      <w:r>
        <w:rPr>
          <w:rFonts w:ascii="Arial" w:eastAsia="Malgun Gothic" w:hAnsi="Arial"/>
          <w:lang w:eastAsia="en-US"/>
        </w:rPr>
        <w:tab/>
      </w:r>
      <w:bookmarkStart w:id="3" w:name="DocumentFor"/>
      <w:bookmarkEnd w:id="3"/>
      <w:r>
        <w:rPr>
          <w:rFonts w:ascii="Arial" w:eastAsiaTheme="minorEastAsia" w:hAnsi="Arial" w:hint="eastAsia"/>
        </w:rPr>
        <w:t>Discussion</w:t>
      </w:r>
    </w:p>
    <w:p w14:paraId="6BED47FE" w14:textId="77777777" w:rsidR="004328AC" w:rsidRDefault="00000000">
      <w:pPr>
        <w:pStyle w:val="aff7"/>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t>Discussion</w:t>
      </w:r>
    </w:p>
    <w:p w14:paraId="786FF3EE" w14:textId="0A59BC36" w:rsidR="001268AD" w:rsidRPr="007257D0" w:rsidRDefault="001268AD" w:rsidP="00F74E1D">
      <w:pPr>
        <w:spacing w:before="60" w:after="60"/>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 xml:space="preserve">In </w:t>
      </w:r>
      <w:r w:rsidR="00F74E1D" w:rsidRPr="007257D0">
        <w:rPr>
          <w:rFonts w:ascii="Times New Roman" w:eastAsiaTheme="minorEastAsia" w:hAnsi="Times New Roman" w:cs="Times New Roman" w:hint="eastAsia"/>
          <w:sz w:val="20"/>
          <w:szCs w:val="20"/>
        </w:rPr>
        <w:t>RAN4 115</w:t>
      </w:r>
      <w:r w:rsidRPr="007257D0">
        <w:rPr>
          <w:rFonts w:ascii="Times New Roman" w:eastAsiaTheme="minorEastAsia" w:hAnsi="Times New Roman" w:cs="Times New Roman" w:hint="eastAsia"/>
          <w:sz w:val="20"/>
          <w:szCs w:val="20"/>
        </w:rPr>
        <w:t xml:space="preserve">, </w:t>
      </w:r>
      <w:r w:rsidR="007B1C0F" w:rsidRPr="007257D0">
        <w:rPr>
          <w:rFonts w:ascii="Times New Roman" w:eastAsiaTheme="minorEastAsia" w:hAnsi="Times New Roman" w:cs="Times New Roman" w:hint="eastAsia"/>
          <w:sz w:val="20"/>
          <w:szCs w:val="20"/>
        </w:rPr>
        <w:t>the following a</w:t>
      </w:r>
      <w:r w:rsidR="00F74E1D" w:rsidRPr="007257D0">
        <w:rPr>
          <w:rFonts w:ascii="Times New Roman" w:eastAsiaTheme="minorEastAsia" w:hAnsi="Times New Roman" w:cs="Times New Roman" w:hint="eastAsia"/>
          <w:sz w:val="20"/>
          <w:szCs w:val="20"/>
        </w:rPr>
        <w:t>greement</w:t>
      </w:r>
      <w:r w:rsidR="007B1C0F" w:rsidRPr="007257D0">
        <w:rPr>
          <w:rFonts w:ascii="Times New Roman" w:eastAsiaTheme="minorEastAsia" w:hAnsi="Times New Roman" w:cs="Times New Roman" w:hint="eastAsia"/>
          <w:sz w:val="20"/>
          <w:szCs w:val="20"/>
        </w:rPr>
        <w:t xml:space="preserve"> is UE feature related</w:t>
      </w:r>
      <w:r w:rsidR="0055013E" w:rsidRPr="007257D0">
        <w:rPr>
          <w:rFonts w:ascii="Times New Roman" w:eastAsiaTheme="minorEastAsia" w:hAnsi="Times New Roman" w:cs="Times New Roman" w:hint="eastAsia"/>
          <w:sz w:val="20"/>
          <w:szCs w:val="20"/>
        </w:rPr>
        <w:t xml:space="preserve"> [1]</w:t>
      </w:r>
      <w:r w:rsidR="007B1C0F" w:rsidRPr="007257D0">
        <w:rPr>
          <w:rFonts w:ascii="Times New Roman" w:eastAsiaTheme="minorEastAsia" w:hAnsi="Times New Roman" w:cs="Times New Roman" w:hint="eastAsia"/>
          <w:sz w:val="20"/>
          <w:szCs w:val="20"/>
        </w:rPr>
        <w:t>:</w:t>
      </w:r>
    </w:p>
    <w:p w14:paraId="49C3C7AE" w14:textId="77777777" w:rsidR="001268AD" w:rsidRPr="007257D0" w:rsidRDefault="001268AD" w:rsidP="001268AD">
      <w:pPr>
        <w:rPr>
          <w:rFonts w:ascii="Times New Roman" w:eastAsiaTheme="minorEastAsia" w:hAnsi="Times New Roman" w:cs="Times New Roman"/>
          <w:b/>
          <w:bCs/>
          <w:sz w:val="20"/>
          <w:szCs w:val="20"/>
        </w:rPr>
      </w:pPr>
      <w:r w:rsidRPr="007257D0">
        <w:rPr>
          <w:rFonts w:ascii="Times New Roman" w:eastAsiaTheme="minorEastAsia" w:hAnsi="Times New Roman" w:cs="Times New Roman"/>
          <w:b/>
          <w:bCs/>
          <w:sz w:val="20"/>
          <w:szCs w:val="20"/>
        </w:rPr>
        <w:t>Issue 2-</w:t>
      </w:r>
      <w:r w:rsidRPr="007257D0">
        <w:rPr>
          <w:rFonts w:ascii="Times New Roman" w:eastAsiaTheme="minorEastAsia" w:hAnsi="Times New Roman" w:cs="Times New Roman" w:hint="eastAsia"/>
          <w:b/>
          <w:bCs/>
          <w:sz w:val="20"/>
          <w:szCs w:val="20"/>
        </w:rPr>
        <w:t>3</w:t>
      </w:r>
      <w:r w:rsidRPr="007257D0">
        <w:rPr>
          <w:rFonts w:ascii="Times New Roman" w:eastAsiaTheme="minorEastAsia" w:hAnsi="Times New Roman" w:cs="Times New Roman"/>
          <w:b/>
          <w:bCs/>
          <w:sz w:val="20"/>
          <w:szCs w:val="20"/>
        </w:rPr>
        <w:t>:</w:t>
      </w:r>
      <w:r w:rsidRPr="007257D0">
        <w:rPr>
          <w:rFonts w:ascii="Times New Roman" w:eastAsiaTheme="minorEastAsia" w:hAnsi="Times New Roman" w:cs="Times New Roman" w:hint="eastAsia"/>
          <w:b/>
          <w:bCs/>
          <w:sz w:val="20"/>
          <w:szCs w:val="20"/>
        </w:rPr>
        <w:t xml:space="preserve"> Rx beam knowledge and TCI handling</w:t>
      </w:r>
    </w:p>
    <w:p w14:paraId="76D037F9" w14:textId="77777777" w:rsidR="001268AD" w:rsidRPr="007257D0" w:rsidRDefault="001268AD" w:rsidP="001268AD">
      <w:pPr>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highlight w:val="green"/>
        </w:rPr>
        <w:t>Agreement:</w:t>
      </w:r>
    </w:p>
    <w:p w14:paraId="2D003C8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if the predicted Tx beam in Set A is QCL Type-D to a known Tx beam, the corresponding Rx beam is known.</w:t>
      </w:r>
    </w:p>
    <w:p w14:paraId="7D1EBE43"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If the predicted Tx beam in Set A is not QCL Type-D to a known Tx beam, depending on UE capability, the corresponding Rx beam may be known or unknown.</w:t>
      </w:r>
    </w:p>
    <w:p w14:paraId="1F760B8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Known Rx beam means no additional Rx beam sweeping is needed</w:t>
      </w:r>
    </w:p>
    <w:p w14:paraId="0EA4DED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Unknown Rx beam means additional Rx beam sweeping is needed.</w:t>
      </w:r>
    </w:p>
    <w:p w14:paraId="66057256" w14:textId="77777777" w:rsidR="001268AD" w:rsidRPr="007257D0" w:rsidRDefault="001268AD" w:rsidP="001268AD">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Rx beam is known mean TCI state is known if conditions below are also met</w:t>
      </w:r>
    </w:p>
    <w:p w14:paraId="5E50AB22" w14:textId="77777777" w:rsidR="007257D0" w:rsidRPr="007257D0" w:rsidRDefault="007257D0" w:rsidP="00C05572">
      <w:pPr>
        <w:ind w:firstLine="567"/>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The following conditions related to whether the TCI state is known or unknown</w:t>
      </w:r>
      <w:r w:rsidRPr="007257D0">
        <w:rPr>
          <w:rFonts w:ascii="Times New Roman" w:eastAsiaTheme="minorEastAsia" w:hAnsi="Times New Roman" w:cs="Times New Roman"/>
          <w:sz w:val="20"/>
          <w:szCs w:val="20"/>
        </w:rPr>
        <w:t xml:space="preserve"> is defined as the starting point. </w:t>
      </w:r>
      <w:r w:rsidRPr="007257D0">
        <w:rPr>
          <w:rFonts w:ascii="Times New Roman" w:eastAsiaTheme="minorEastAsia" w:hAnsi="Times New Roman" w:cs="Times New Roman" w:hint="eastAsia"/>
          <w:sz w:val="20"/>
          <w:szCs w:val="20"/>
        </w:rPr>
        <w:t>Companies are invited to bring analysis</w:t>
      </w:r>
      <w:r w:rsidRPr="007257D0">
        <w:rPr>
          <w:rFonts w:ascii="Times New Roman" w:eastAsiaTheme="minorEastAsia" w:hAnsi="Times New Roman" w:cs="Times New Roman"/>
          <w:sz w:val="20"/>
          <w:szCs w:val="20"/>
        </w:rPr>
        <w:t>.</w:t>
      </w:r>
    </w:p>
    <w:p w14:paraId="57C22B31" w14:textId="77777777" w:rsidR="007257D0" w:rsidRPr="007257D0" w:rsidRDefault="007257D0" w:rsidP="007257D0">
      <w:pPr>
        <w:numPr>
          <w:ilvl w:val="0"/>
          <w:numId w:val="8"/>
        </w:numPr>
        <w:tabs>
          <w:tab w:val="clear" w:pos="-420"/>
        </w:tabs>
        <w:overflowPunct w:val="0"/>
        <w:autoSpaceDE w:val="0"/>
        <w:autoSpaceDN w:val="0"/>
        <w:adjustRightInd w:val="0"/>
        <w:spacing w:after="180"/>
        <w:ind w:left="92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 xml:space="preserve">The </w:t>
      </w:r>
      <w:r w:rsidRPr="007257D0">
        <w:rPr>
          <w:rFonts w:ascii="Times New Roman" w:eastAsiaTheme="minorEastAsia" w:hAnsi="Times New Roman" w:cs="Times New Roman" w:hint="eastAsia"/>
          <w:sz w:val="20"/>
          <w:szCs w:val="20"/>
        </w:rPr>
        <w:t xml:space="preserve">target </w:t>
      </w:r>
      <w:r w:rsidRPr="007257D0">
        <w:rPr>
          <w:rFonts w:ascii="Times New Roman" w:eastAsiaTheme="minorEastAsia" w:hAnsi="Times New Roman" w:cs="Times New Roman"/>
          <w:sz w:val="20"/>
          <w:szCs w:val="20"/>
        </w:rPr>
        <w:t xml:space="preserve">TCI state is known when the following is met: </w:t>
      </w:r>
    </w:p>
    <w:p w14:paraId="4EFFC999"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 xml:space="preserve">The TCI state switch command is received within </w:t>
      </w:r>
      <w:r w:rsidRPr="007257D0">
        <w:rPr>
          <w:rFonts w:ascii="Times New Roman" w:eastAsiaTheme="minorEastAsia" w:hAnsi="Times New Roman" w:cs="Times New Roman" w:hint="eastAsia"/>
          <w:sz w:val="20"/>
          <w:szCs w:val="20"/>
        </w:rPr>
        <w:t>1280 ms upon the last transmission of the RS resource for beam reporting or measurement and the UE has sent at least one L-</w:t>
      </w:r>
      <w:proofErr w:type="gramStart"/>
      <w:r w:rsidRPr="007257D0">
        <w:rPr>
          <w:rFonts w:ascii="Times New Roman" w:eastAsiaTheme="minorEastAsia" w:hAnsi="Times New Roman" w:cs="Times New Roman" w:hint="eastAsia"/>
          <w:sz w:val="20"/>
          <w:szCs w:val="20"/>
        </w:rPr>
        <w:t>1  RSRP</w:t>
      </w:r>
      <w:proofErr w:type="gramEnd"/>
      <w:r w:rsidRPr="007257D0">
        <w:rPr>
          <w:rFonts w:ascii="Times New Roman" w:eastAsiaTheme="minorEastAsia" w:hAnsi="Times New Roman" w:cs="Times New Roman" w:hint="eastAsia"/>
          <w:sz w:val="20"/>
          <w:szCs w:val="20"/>
        </w:rPr>
        <w:t xml:space="preserve"> report of the target TCI state (clause 8.10.2 of 38.133)</w:t>
      </w:r>
    </w:p>
    <w:p w14:paraId="45E5C168"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A</w:t>
      </w:r>
      <w:r w:rsidRPr="007257D0">
        <w:rPr>
          <w:rFonts w:ascii="Times New Roman" w:eastAsiaTheme="minorEastAsia" w:hAnsi="Times New Roman" w:cs="Times New Roman" w:hint="eastAsia"/>
          <w:sz w:val="20"/>
          <w:szCs w:val="20"/>
        </w:rPr>
        <w:t>pplies for case 1</w:t>
      </w:r>
    </w:p>
    <w:p w14:paraId="1A398FEB"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for case 2</w:t>
      </w:r>
    </w:p>
    <w:p w14:paraId="2D52FBBF" w14:textId="77777777" w:rsidR="007257D0" w:rsidRPr="007257D0" w:rsidRDefault="007257D0" w:rsidP="007257D0">
      <w:pPr>
        <w:numPr>
          <w:ilvl w:val="1"/>
          <w:numId w:val="8"/>
        </w:numPr>
        <w:tabs>
          <w:tab w:val="clear" w:pos="-420"/>
        </w:tabs>
        <w:overflowPunct w:val="0"/>
        <w:autoSpaceDE w:val="0"/>
        <w:autoSpaceDN w:val="0"/>
        <w:adjustRightInd w:val="0"/>
        <w:spacing w:after="180"/>
        <w:ind w:left="164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W</w:t>
      </w:r>
      <w:r w:rsidRPr="007257D0">
        <w:rPr>
          <w:rFonts w:ascii="Times New Roman" w:eastAsiaTheme="minorEastAsia" w:hAnsi="Times New Roman" w:cs="Times New Roman" w:hint="eastAsia"/>
          <w:sz w:val="20"/>
          <w:szCs w:val="20"/>
        </w:rPr>
        <w:t>hether RS resource is only from set B should be clarified</w:t>
      </w:r>
    </w:p>
    <w:p w14:paraId="63908BE7" w14:textId="77777777" w:rsidR="007257D0" w:rsidRPr="007257D0" w:rsidRDefault="007257D0" w:rsidP="007257D0">
      <w:pPr>
        <w:numPr>
          <w:ilvl w:val="2"/>
          <w:numId w:val="8"/>
        </w:numPr>
        <w:tabs>
          <w:tab w:val="clear" w:pos="-420"/>
        </w:tabs>
        <w:overflowPunct w:val="0"/>
        <w:autoSpaceDE w:val="0"/>
        <w:autoSpaceDN w:val="0"/>
        <w:adjustRightInd w:val="0"/>
        <w:spacing w:after="180"/>
        <w:ind w:left="236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on whether prediction also impacts if a TCI state is known or unknown</w:t>
      </w:r>
    </w:p>
    <w:p w14:paraId="3B53FBA1" w14:textId="77777777" w:rsidR="007257D0" w:rsidRPr="007257D0" w:rsidRDefault="007257D0" w:rsidP="007257D0">
      <w:pPr>
        <w:numPr>
          <w:ilvl w:val="3"/>
          <w:numId w:val="8"/>
        </w:numPr>
        <w:tabs>
          <w:tab w:val="clear" w:pos="-420"/>
        </w:tabs>
        <w:overflowPunct w:val="0"/>
        <w:autoSpaceDE w:val="0"/>
        <w:autoSpaceDN w:val="0"/>
        <w:adjustRightInd w:val="0"/>
        <w:spacing w:after="180"/>
        <w:ind w:left="308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C</w:t>
      </w:r>
      <w:r w:rsidRPr="007257D0">
        <w:rPr>
          <w:rFonts w:ascii="Times New Roman" w:eastAsiaTheme="minorEastAsia" w:hAnsi="Times New Roman" w:cs="Times New Roman" w:hint="eastAsia"/>
          <w:sz w:val="20"/>
          <w:szCs w:val="20"/>
        </w:rPr>
        <w:t xml:space="preserve">ompanies are invited to bring analysis on how prediction </w:t>
      </w:r>
      <w:r w:rsidRPr="007257D0">
        <w:rPr>
          <w:rFonts w:ascii="Times New Roman" w:eastAsiaTheme="minorEastAsia" w:hAnsi="Times New Roman" w:cs="Times New Roman"/>
          <w:sz w:val="20"/>
          <w:szCs w:val="20"/>
        </w:rPr>
        <w:t>would</w:t>
      </w:r>
      <w:r w:rsidRPr="007257D0">
        <w:rPr>
          <w:rFonts w:ascii="Times New Roman" w:eastAsiaTheme="minorEastAsia" w:hAnsi="Times New Roman" w:cs="Times New Roman" w:hint="eastAsia"/>
          <w:sz w:val="20"/>
          <w:szCs w:val="20"/>
        </w:rPr>
        <w:t xml:space="preserve"> impact whether a TCI state is known or unknown</w:t>
      </w:r>
    </w:p>
    <w:p w14:paraId="1FE919BF" w14:textId="77777777" w:rsidR="007257D0" w:rsidRPr="007257D0" w:rsidRDefault="007257D0" w:rsidP="007257D0">
      <w:pPr>
        <w:numPr>
          <w:ilvl w:val="3"/>
          <w:numId w:val="8"/>
        </w:numPr>
        <w:tabs>
          <w:tab w:val="clear" w:pos="-420"/>
        </w:tabs>
        <w:overflowPunct w:val="0"/>
        <w:autoSpaceDE w:val="0"/>
        <w:autoSpaceDN w:val="0"/>
        <w:adjustRightInd w:val="0"/>
        <w:spacing w:after="180"/>
        <w:ind w:left="3087"/>
        <w:textAlignment w:val="baseline"/>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FFS on the time delay if prediction is used as a condition for a known TCI state</w:t>
      </w:r>
    </w:p>
    <w:p w14:paraId="52353575" w14:textId="4E74104A" w:rsidR="007257D0" w:rsidRDefault="007257D0" w:rsidP="00F74E1D">
      <w:pPr>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Further agreements on TCI state handling in last meeting [2]:</w:t>
      </w:r>
    </w:p>
    <w:p w14:paraId="58F998C0" w14:textId="77777777" w:rsidR="007257D0" w:rsidRPr="007257D0" w:rsidRDefault="007257D0" w:rsidP="007257D0">
      <w:pPr>
        <w:rPr>
          <w:rFonts w:ascii="Times New Roman" w:eastAsiaTheme="minorEastAsia" w:hAnsi="Times New Roman" w:cs="Times New Roman"/>
          <w:b/>
          <w:bCs/>
          <w:sz w:val="20"/>
          <w:szCs w:val="20"/>
        </w:rPr>
      </w:pPr>
      <w:r w:rsidRPr="007257D0">
        <w:rPr>
          <w:rFonts w:ascii="Times New Roman" w:eastAsiaTheme="minorEastAsia" w:hAnsi="Times New Roman" w:cs="Times New Roman"/>
          <w:b/>
          <w:bCs/>
          <w:sz w:val="20"/>
          <w:szCs w:val="20"/>
        </w:rPr>
        <w:t>Issue 2-3: TCI State Handling</w:t>
      </w:r>
    </w:p>
    <w:p w14:paraId="7A65F602" w14:textId="77777777" w:rsidR="007257D0" w:rsidRPr="007257D0" w:rsidRDefault="007257D0" w:rsidP="007257D0">
      <w:pPr>
        <w:pStyle w:val="aff7"/>
        <w:spacing w:after="120"/>
        <w:ind w:leftChars="0" w:left="0"/>
        <w:rPr>
          <w:rFonts w:eastAsiaTheme="minorEastAsia"/>
          <w:sz w:val="20"/>
          <w:lang w:val="en-US" w:eastAsia="zh-CN"/>
        </w:rPr>
      </w:pPr>
      <w:r w:rsidRPr="007257D0">
        <w:rPr>
          <w:rFonts w:eastAsiaTheme="minorEastAsia"/>
          <w:sz w:val="20"/>
          <w:highlight w:val="green"/>
          <w:lang w:val="en-US" w:eastAsia="zh-CN"/>
        </w:rPr>
        <w:t>Agreement:</w:t>
      </w:r>
    </w:p>
    <w:p w14:paraId="349B9906" w14:textId="77777777" w:rsidR="007257D0" w:rsidRPr="007257D0" w:rsidRDefault="007257D0" w:rsidP="007257D0">
      <w:pPr>
        <w:pStyle w:val="aff7"/>
        <w:numPr>
          <w:ilvl w:val="0"/>
          <w:numId w:val="8"/>
        </w:numPr>
        <w:tabs>
          <w:tab w:val="clear" w:pos="-420"/>
        </w:tabs>
        <w:ind w:leftChars="0" w:left="360" w:hanging="357"/>
        <w:rPr>
          <w:rFonts w:eastAsiaTheme="minorEastAsia"/>
          <w:sz w:val="20"/>
          <w:lang w:val="en-US" w:eastAsia="zh-CN"/>
        </w:rPr>
      </w:pPr>
      <w:r w:rsidRPr="007257D0">
        <w:rPr>
          <w:rFonts w:eastAsiaTheme="minorEastAsia"/>
          <w:sz w:val="20"/>
          <w:lang w:val="en-US" w:eastAsia="zh-CN"/>
        </w:rPr>
        <w:t>On Detectability and SNR conditions:</w:t>
      </w:r>
    </w:p>
    <w:p w14:paraId="504A3D0A"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UE has sent at least 1 L1-RSRP inference report for the target TCI state before the TCI state switch command</w:t>
      </w:r>
    </w:p>
    <w:p w14:paraId="4B149BDF"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TCI state remains detectable during the TCI state switching period</w:t>
      </w:r>
    </w:p>
    <w:p w14:paraId="70ACA1C9"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The SSB associated with the TCI state remain detectable during the TCI switching period</w:t>
      </w:r>
    </w:p>
    <w:p w14:paraId="29C78BD0" w14:textId="77777777" w:rsidR="007257D0" w:rsidRPr="007257D0" w:rsidRDefault="007257D0" w:rsidP="007257D0">
      <w:pPr>
        <w:pStyle w:val="aff7"/>
        <w:numPr>
          <w:ilvl w:val="2"/>
          <w:numId w:val="8"/>
        </w:numPr>
        <w:tabs>
          <w:tab w:val="clear" w:pos="-420"/>
        </w:tabs>
        <w:ind w:leftChars="0" w:left="1800" w:hanging="357"/>
        <w:rPr>
          <w:rFonts w:eastAsiaTheme="minorEastAsia"/>
          <w:sz w:val="20"/>
          <w:lang w:val="en-US" w:eastAsia="zh-CN"/>
        </w:rPr>
      </w:pPr>
      <w:r w:rsidRPr="007257D0">
        <w:rPr>
          <w:rFonts w:eastAsiaTheme="minorEastAsia"/>
          <w:sz w:val="20"/>
          <w:lang w:val="en-US" w:eastAsia="zh-CN"/>
        </w:rPr>
        <w:lastRenderedPageBreak/>
        <w:t>SNR of the TCI state ≥ -3 dB</w:t>
      </w:r>
    </w:p>
    <w:p w14:paraId="674B84B3" w14:textId="77777777" w:rsidR="007257D0" w:rsidRPr="007257D0" w:rsidRDefault="007257D0" w:rsidP="007257D0">
      <w:pPr>
        <w:numPr>
          <w:ilvl w:val="0"/>
          <w:numId w:val="8"/>
        </w:numPr>
        <w:tabs>
          <w:tab w:val="clear" w:pos="-420"/>
        </w:tabs>
        <w:ind w:left="360" w:hanging="357"/>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Time conditions:</w:t>
      </w:r>
    </w:p>
    <w:p w14:paraId="572EB492" w14:textId="77777777" w:rsidR="007257D0" w:rsidRPr="007257D0" w:rsidRDefault="007257D0" w:rsidP="007257D0">
      <w:pPr>
        <w:numPr>
          <w:ilvl w:val="1"/>
          <w:numId w:val="8"/>
        </w:numPr>
        <w:tabs>
          <w:tab w:val="clear" w:pos="-420"/>
        </w:tabs>
        <w:ind w:left="1080" w:hanging="357"/>
        <w:rPr>
          <w:rFonts w:ascii="Times New Roman" w:eastAsiaTheme="minorEastAsia" w:hAnsi="Times New Roman" w:cs="Times New Roman"/>
          <w:sz w:val="20"/>
          <w:szCs w:val="20"/>
        </w:rPr>
      </w:pPr>
      <w:r w:rsidRPr="007257D0">
        <w:rPr>
          <w:rFonts w:ascii="Times New Roman" w:eastAsiaTheme="minorEastAsia" w:hAnsi="Times New Roman" w:cs="Times New Roman"/>
          <w:sz w:val="20"/>
          <w:szCs w:val="20"/>
        </w:rPr>
        <w:t>TCI state switch command is received within 1280 ms upon the last transmission of the RS resource for beam predict reporting or measurement</w:t>
      </w:r>
    </w:p>
    <w:p w14:paraId="35D2344F" w14:textId="77777777" w:rsidR="007257D0" w:rsidRPr="007257D0" w:rsidRDefault="007257D0" w:rsidP="007257D0">
      <w:pPr>
        <w:pStyle w:val="aff7"/>
        <w:numPr>
          <w:ilvl w:val="0"/>
          <w:numId w:val="8"/>
        </w:numPr>
        <w:tabs>
          <w:tab w:val="clear" w:pos="-420"/>
        </w:tabs>
        <w:ind w:leftChars="0" w:left="360" w:hanging="357"/>
        <w:rPr>
          <w:rFonts w:eastAsiaTheme="minorEastAsia"/>
          <w:sz w:val="20"/>
          <w:lang w:val="en-US" w:eastAsia="zh-CN"/>
        </w:rPr>
      </w:pPr>
      <w:r w:rsidRPr="007257D0">
        <w:rPr>
          <w:rFonts w:eastAsiaTheme="minorEastAsia"/>
          <w:sz w:val="20"/>
          <w:lang w:val="en-US" w:eastAsia="zh-CN"/>
        </w:rPr>
        <w:t>Agreement on QCL relationship</w:t>
      </w:r>
    </w:p>
    <w:p w14:paraId="5C2D8A6C" w14:textId="77777777" w:rsidR="007257D0" w:rsidRPr="007257D0" w:rsidRDefault="007257D0" w:rsidP="007257D0">
      <w:pPr>
        <w:pStyle w:val="aff7"/>
        <w:numPr>
          <w:ilvl w:val="1"/>
          <w:numId w:val="8"/>
        </w:numPr>
        <w:tabs>
          <w:tab w:val="clear" w:pos="-420"/>
        </w:tabs>
        <w:ind w:leftChars="0" w:left="1080" w:hanging="357"/>
        <w:rPr>
          <w:rFonts w:eastAsiaTheme="minorEastAsia"/>
          <w:sz w:val="20"/>
          <w:lang w:val="en-US" w:eastAsia="zh-CN"/>
        </w:rPr>
      </w:pPr>
      <w:r w:rsidRPr="007257D0">
        <w:rPr>
          <w:rFonts w:eastAsiaTheme="minorEastAsia"/>
          <w:sz w:val="20"/>
          <w:lang w:val="en-US" w:eastAsia="zh-CN"/>
        </w:rPr>
        <w:t>If the predicted Tx beam in Set A is QCL Type-D to a known measured Tx beam, where TX beam can be both inside or outside set B, the corresponding Rx beam is known.</w:t>
      </w:r>
    </w:p>
    <w:p w14:paraId="5A243543" w14:textId="77777777" w:rsidR="007257D0" w:rsidRPr="007257D0" w:rsidRDefault="007257D0" w:rsidP="007257D0">
      <w:pPr>
        <w:pStyle w:val="aff7"/>
        <w:numPr>
          <w:ilvl w:val="1"/>
          <w:numId w:val="8"/>
        </w:numPr>
        <w:tabs>
          <w:tab w:val="clear" w:pos="-420"/>
        </w:tabs>
        <w:overflowPunct w:val="0"/>
        <w:autoSpaceDE w:val="0"/>
        <w:autoSpaceDN w:val="0"/>
        <w:adjustRightInd w:val="0"/>
        <w:ind w:leftChars="0" w:left="1080" w:hanging="357"/>
        <w:textAlignment w:val="baseline"/>
        <w:rPr>
          <w:rFonts w:eastAsiaTheme="minorEastAsia"/>
          <w:sz w:val="20"/>
          <w:lang w:val="en-US" w:eastAsia="zh-CN"/>
        </w:rPr>
      </w:pPr>
      <w:r w:rsidRPr="007257D0">
        <w:rPr>
          <w:rFonts w:eastAsiaTheme="minorEastAsia"/>
          <w:sz w:val="20"/>
          <w:lang w:val="en-US" w:eastAsia="zh-CN"/>
        </w:rPr>
        <w:t>If the predicted Tx beam in Set A is not QCL Type-D to a known Tx beam, known TCI state conditions shall be based on UE capability.</w:t>
      </w:r>
    </w:p>
    <w:p w14:paraId="378A8ABF" w14:textId="77777777" w:rsidR="007257D0" w:rsidRPr="007257D0" w:rsidRDefault="007257D0" w:rsidP="00F74E1D">
      <w:pPr>
        <w:spacing w:before="60" w:after="60"/>
        <w:rPr>
          <w:rFonts w:ascii="Times New Roman" w:eastAsiaTheme="minorEastAsia" w:hAnsi="Times New Roman" w:cs="Times New Roman"/>
          <w:sz w:val="20"/>
          <w:szCs w:val="20"/>
          <w:lang w:val="en-GB"/>
        </w:rPr>
      </w:pPr>
    </w:p>
    <w:p w14:paraId="350CDE95" w14:textId="58F51216" w:rsidR="001268AD" w:rsidRPr="007257D0" w:rsidRDefault="0055013E" w:rsidP="00F74E1D">
      <w:pPr>
        <w:spacing w:before="60" w:after="60"/>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In last meetin</w:t>
      </w:r>
      <w:r w:rsidRPr="00C05572">
        <w:rPr>
          <w:rFonts w:ascii="Times New Roman" w:eastAsiaTheme="minorEastAsia" w:hAnsi="Times New Roman" w:cs="Times New Roman" w:hint="eastAsia"/>
          <w:sz w:val="20"/>
          <w:szCs w:val="20"/>
        </w:rPr>
        <w:t>g, Rel-19 NR_</w:t>
      </w:r>
      <w:r w:rsidRPr="007257D0">
        <w:rPr>
          <w:rFonts w:ascii="Times New Roman" w:eastAsiaTheme="minorEastAsia" w:hAnsi="Times New Roman" w:cs="Times New Roman" w:hint="eastAsia"/>
          <w:sz w:val="20"/>
          <w:szCs w:val="20"/>
        </w:rPr>
        <w:t>AIML_air UE feature was included in Rel-19 UE feature list [</w:t>
      </w:r>
      <w:r w:rsidR="007257D0">
        <w:rPr>
          <w:rFonts w:ascii="Times New Roman" w:eastAsiaTheme="minorEastAsia" w:hAnsi="Times New Roman" w:cs="Times New Roman" w:hint="eastAsia"/>
          <w:sz w:val="20"/>
          <w:szCs w:val="20"/>
        </w:rPr>
        <w:t>3</w:t>
      </w:r>
      <w:r w:rsidRPr="007257D0">
        <w:rPr>
          <w:rFonts w:ascii="Times New Roman" w:eastAsiaTheme="minorEastAsia" w:hAnsi="Times New Roman" w:cs="Times New Roman" w:hint="eastAsia"/>
          <w:sz w:val="20"/>
          <w:szCs w:val="20"/>
        </w:rPr>
        <w:t xml:space="preserve">]. The </w:t>
      </w:r>
      <w:r w:rsidRPr="007257D0">
        <w:rPr>
          <w:rFonts w:ascii="Times New Roman" w:eastAsiaTheme="minorEastAsia" w:hAnsi="Times New Roman" w:cs="Times New Roman"/>
          <w:sz w:val="20"/>
          <w:szCs w:val="20"/>
        </w:rPr>
        <w:t>details</w:t>
      </w:r>
      <w:r w:rsidRPr="007257D0">
        <w:rPr>
          <w:rFonts w:ascii="Times New Roman" w:eastAsiaTheme="minorEastAsia" w:hAnsi="Times New Roman" w:cs="Times New Roman" w:hint="eastAsia"/>
          <w:sz w:val="20"/>
          <w:szCs w:val="20"/>
        </w:rPr>
        <w:t xml:space="preserve"> of </w:t>
      </w:r>
      <w:r w:rsidR="00655F26" w:rsidRPr="007257D0">
        <w:rPr>
          <w:rFonts w:ascii="Times New Roman" w:eastAsiaTheme="minorEastAsia" w:hAnsi="Times New Roman" w:cs="Times New Roman" w:hint="eastAsia"/>
          <w:sz w:val="20"/>
          <w:szCs w:val="20"/>
        </w:rPr>
        <w:t>Rel-19 NR_AIML_air UE feature should be further discussed and concluded.</w:t>
      </w:r>
    </w:p>
    <w:p w14:paraId="1EC1A821" w14:textId="44895604" w:rsidR="004328AC" w:rsidRPr="007257D0" w:rsidRDefault="00655F26" w:rsidP="00B97A81">
      <w:pPr>
        <w:spacing w:before="60" w:after="60"/>
        <w:rPr>
          <w:rFonts w:ascii="Times New Roman" w:eastAsiaTheme="minorEastAsia" w:hAnsi="Times New Roman" w:cs="Times New Roman"/>
          <w:sz w:val="20"/>
          <w:szCs w:val="20"/>
        </w:rPr>
      </w:pPr>
      <w:r w:rsidRPr="007257D0">
        <w:rPr>
          <w:rFonts w:ascii="Times New Roman" w:eastAsiaTheme="minorEastAsia" w:hAnsi="Times New Roman" w:cs="Times New Roman" w:hint="eastAsia"/>
          <w:sz w:val="20"/>
          <w:szCs w:val="20"/>
        </w:rPr>
        <w:t>We provide the detail information in the following table</w:t>
      </w:r>
      <w:r w:rsidR="007071E3" w:rsidRPr="007257D0">
        <w:rPr>
          <w:rFonts w:ascii="Times New Roman" w:eastAsiaTheme="minorEastAsia" w:hAnsi="Times New Roman" w:cs="Times New Roman" w:hint="eastAsia"/>
          <w:sz w:val="20"/>
          <w:szCs w:val="20"/>
        </w:rPr>
        <w:t xml:space="preserve"> as starting point for further discussion</w:t>
      </w:r>
      <w:r w:rsidRPr="007257D0">
        <w:rPr>
          <w:rFonts w:ascii="Times New Roman" w:eastAsiaTheme="minorEastAsia" w:hAnsi="Times New Roman" w:cs="Times New Roman" w:hint="eastAsia"/>
          <w:sz w:val="20"/>
          <w:szCs w:val="20"/>
        </w:rPr>
        <w:t xml:space="preserve">:  </w:t>
      </w:r>
    </w:p>
    <w:p w14:paraId="6A93CE1D" w14:textId="4EA39D4C" w:rsidR="00B97A81" w:rsidRPr="00B97A81" w:rsidRDefault="00B97A81" w:rsidP="00B97A81">
      <w:pPr>
        <w:spacing w:before="60" w:after="60"/>
        <w:rPr>
          <w:rFonts w:ascii="Times New Roman" w:eastAsiaTheme="minorEastAsia" w:hAnsi="Times New Roman" w:cs="Times New Roman"/>
          <w:sz w:val="28"/>
          <w:szCs w:val="28"/>
        </w:rPr>
      </w:pPr>
      <w:r>
        <w:rPr>
          <w:rFonts w:ascii="Times New Roman" w:eastAsiaTheme="minorEastAsia" w:hAnsi="Times New Roman" w:cs="Times New Roman" w:hint="eastAsia"/>
          <w:sz w:val="28"/>
          <w:szCs w:val="28"/>
        </w:rPr>
        <w:t>5</w:t>
      </w:r>
      <w:r w:rsidR="00655F26">
        <w:rPr>
          <w:rFonts w:ascii="Times New Roman" w:eastAsiaTheme="minorEastAsia" w:hAnsi="Times New Roman" w:cs="Times New Roman" w:hint="eastAsia"/>
          <w:sz w:val="28"/>
          <w:szCs w:val="28"/>
        </w:rPr>
        <w:t>9</w:t>
      </w:r>
      <w:r w:rsidRPr="00B97A81">
        <w:rPr>
          <w:rFonts w:ascii="Times New Roman" w:eastAsiaTheme="minorEastAsia" w:hAnsi="Times New Roman" w:cs="Times New Roman" w:hint="eastAsia"/>
          <w:sz w:val="28"/>
          <w:szCs w:val="28"/>
        </w:rPr>
        <w:t>. NR_AIML_air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0FF1B38F" w14:textId="77777777">
        <w:trPr>
          <w:trHeight w:val="20"/>
        </w:trPr>
        <w:tc>
          <w:tcPr>
            <w:tcW w:w="2037" w:type="dxa"/>
          </w:tcPr>
          <w:p w14:paraId="065BCE7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0B0B470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AAF9A3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4DBB7024"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2AC9F836"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143EF02"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4634ECD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414" w:type="dxa"/>
          </w:tcPr>
          <w:p w14:paraId="776E575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5F193B4F"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66052109" w14:textId="77777777" w:rsidR="004328AC" w:rsidRDefault="00000000">
            <w:pPr>
              <w:keepNext/>
              <w:keepLines/>
              <w:rPr>
                <w:rFonts w:ascii="Arial" w:hAnsi="Arial" w:cs="Arial"/>
                <w:b/>
                <w:sz w:val="18"/>
              </w:rPr>
            </w:pPr>
            <w:r>
              <w:rPr>
                <w:rFonts w:ascii="Arial" w:hAnsi="Arial" w:cs="Arial"/>
                <w:b/>
                <w:sz w:val="18"/>
              </w:rPr>
              <w:t>Type</w:t>
            </w:r>
          </w:p>
          <w:p w14:paraId="6DD14037"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0F99780B"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0D9EED6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2507479D"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235323C9"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47909004"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B97A81" w14:paraId="75085D41" w14:textId="77777777">
        <w:trPr>
          <w:trHeight w:val="20"/>
        </w:trPr>
        <w:tc>
          <w:tcPr>
            <w:tcW w:w="2037" w:type="dxa"/>
          </w:tcPr>
          <w:p w14:paraId="46824114" w14:textId="38061F33"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55F26">
              <w:rPr>
                <w:rFonts w:ascii="Arial" w:eastAsiaTheme="minorEastAsia" w:hAnsi="Arial" w:cs="Arial" w:hint="eastAsia"/>
                <w:sz w:val="18"/>
                <w:szCs w:val="18"/>
              </w:rPr>
              <w:t>9</w:t>
            </w:r>
            <w:r>
              <w:rPr>
                <w:rFonts w:ascii="Arial" w:eastAsiaTheme="minorEastAsia" w:hAnsi="Arial" w:cs="Arial" w:hint="eastAsia"/>
                <w:sz w:val="18"/>
                <w:szCs w:val="18"/>
              </w:rPr>
              <w:t xml:space="preserve">. </w:t>
            </w:r>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
          <w:p w14:paraId="0E0764BA" w14:textId="77777777"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4CAFD97C" w14:textId="1F8D3DD7" w:rsidR="00B97A81" w:rsidRDefault="00B97A81" w:rsidP="00B97A8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55F26">
              <w:rPr>
                <w:rFonts w:ascii="Arial" w:eastAsiaTheme="minorEastAsia" w:hAnsi="Arial" w:cs="Arial" w:hint="eastAsia"/>
                <w:sz w:val="18"/>
              </w:rPr>
              <w:t>9</w:t>
            </w:r>
            <w:r>
              <w:rPr>
                <w:rFonts w:ascii="Arial" w:eastAsiaTheme="minorEastAsia" w:hAnsi="Arial" w:cs="Arial" w:hint="eastAsia"/>
                <w:sz w:val="18"/>
              </w:rPr>
              <w:t>-1-x]</w:t>
            </w:r>
          </w:p>
        </w:tc>
        <w:tc>
          <w:tcPr>
            <w:tcW w:w="1327" w:type="dxa"/>
          </w:tcPr>
          <w:p w14:paraId="11374071" w14:textId="0107D1A7" w:rsidR="00B97A81" w:rsidRDefault="00B97A81" w:rsidP="00B97A81">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0FAFF317" w14:textId="5E6FE2DA" w:rsidR="00B97A81" w:rsidRDefault="00B97A81" w:rsidP="00B97A81">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[Knows RX beam of predicted TX beam in setA in BM-case 1 if the predicted Tx beam is not QCL Type-D to a known TX beam]</w:t>
            </w:r>
          </w:p>
        </w:tc>
        <w:tc>
          <w:tcPr>
            <w:tcW w:w="1458" w:type="dxa"/>
          </w:tcPr>
          <w:p w14:paraId="6C0D6A22" w14:textId="721E031C"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Pre-requisitng FG: 58-1-2 (RAN1 feature for BM-case-1)</w:t>
            </w:r>
          </w:p>
        </w:tc>
        <w:tc>
          <w:tcPr>
            <w:tcW w:w="1121" w:type="dxa"/>
          </w:tcPr>
          <w:p w14:paraId="59AD7DB5" w14:textId="77777777"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6FBC5D32" w14:textId="77777777" w:rsidR="00B97A81" w:rsidRDefault="00B97A81" w:rsidP="00B97A81">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28503C34" w14:textId="1B871924" w:rsidR="00B97A81" w:rsidRDefault="00B97A81" w:rsidP="00B97A81">
            <w:pPr>
              <w:keepNext/>
              <w:keepLines/>
              <w:rPr>
                <w:rFonts w:ascii="Arial" w:hAnsi="Arial" w:cs="Arial"/>
                <w:sz w:val="18"/>
              </w:rPr>
            </w:pPr>
            <w:r>
              <w:rPr>
                <w:rFonts w:ascii="Arial" w:hAnsi="Arial" w:cs="Arial" w:hint="eastAsia"/>
                <w:sz w:val="18"/>
              </w:rPr>
              <w:t>[</w:t>
            </w:r>
            <w:r w:rsidRPr="00F74E1D">
              <w:rPr>
                <w:rFonts w:ascii="Arial" w:hAnsi="Arial" w:cs="Arial" w:hint="eastAsia"/>
                <w:sz w:val="18"/>
              </w:rPr>
              <w:t>In BM-case 1, network needs to transmit additional samples of reference signal corresponding to the predicted TX beam of setA so that UE can sweep its RX beams during TCI state switch process when the RS resource for predicted Tx beam is the RS in target TCI state or QCLed to target TCI state.</w:t>
            </w:r>
            <w:r>
              <w:rPr>
                <w:rFonts w:ascii="Arial" w:hAnsi="Arial" w:cs="Arial" w:hint="eastAsia"/>
                <w:sz w:val="18"/>
              </w:rPr>
              <w:t>]</w:t>
            </w:r>
          </w:p>
        </w:tc>
        <w:tc>
          <w:tcPr>
            <w:tcW w:w="1232" w:type="dxa"/>
          </w:tcPr>
          <w:p w14:paraId="2922663E" w14:textId="5A6C7C7A" w:rsidR="00B97A81" w:rsidRDefault="00B97A81" w:rsidP="00B97A81">
            <w:pPr>
              <w:keepNext/>
              <w:keepLines/>
              <w:rPr>
                <w:rFonts w:ascii="Arial" w:hAnsi="Arial" w:cs="Arial"/>
                <w:sz w:val="18"/>
              </w:rPr>
            </w:pPr>
            <w:r>
              <w:rPr>
                <w:rFonts w:ascii="Arial" w:hAnsi="Arial" w:cs="Arial" w:hint="eastAsia"/>
                <w:sz w:val="18"/>
              </w:rPr>
              <w:t>[Per Band]</w:t>
            </w:r>
          </w:p>
        </w:tc>
        <w:tc>
          <w:tcPr>
            <w:tcW w:w="1416" w:type="dxa"/>
          </w:tcPr>
          <w:p w14:paraId="27B919B6" w14:textId="57F3FB8B"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31C3602" w14:textId="402BB0D8"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6C50AADD" w14:textId="77777777"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B7CCB5" w14:textId="619B4823" w:rsidR="00B97A81"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F35263A" w14:textId="28E8678C" w:rsidR="00B97A81" w:rsidRDefault="00B97A81" w:rsidP="00B97A81">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r w:rsidR="00B97A81" w14:paraId="25586ADA" w14:textId="77777777">
        <w:trPr>
          <w:trHeight w:val="20"/>
        </w:trPr>
        <w:tc>
          <w:tcPr>
            <w:tcW w:w="2037" w:type="dxa"/>
          </w:tcPr>
          <w:p w14:paraId="7E5D634A" w14:textId="77777777" w:rsidR="00B97A81"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5FB71CD8" w14:textId="35585D63" w:rsidR="00B97A81" w:rsidRDefault="00B97A81" w:rsidP="00B97A8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55F26">
              <w:rPr>
                <w:rFonts w:ascii="Arial" w:eastAsiaTheme="minorEastAsia" w:hAnsi="Arial" w:cs="Arial" w:hint="eastAsia"/>
                <w:sz w:val="18"/>
              </w:rPr>
              <w:t>9</w:t>
            </w:r>
            <w:r>
              <w:rPr>
                <w:rFonts w:ascii="Arial" w:eastAsiaTheme="minorEastAsia" w:hAnsi="Arial" w:cs="Arial" w:hint="eastAsia"/>
                <w:sz w:val="18"/>
              </w:rPr>
              <w:t>-1-y]</w:t>
            </w:r>
          </w:p>
        </w:tc>
        <w:tc>
          <w:tcPr>
            <w:tcW w:w="1327" w:type="dxa"/>
          </w:tcPr>
          <w:p w14:paraId="0EDA7A31" w14:textId="4B3DBBBB" w:rsidR="00B97A81" w:rsidRPr="00F74E1D" w:rsidRDefault="00B97A81" w:rsidP="00B97A81">
            <w:pPr>
              <w:keepNext/>
              <w:keepLines/>
              <w:overflowPunct w:val="0"/>
              <w:autoSpaceDE w:val="0"/>
              <w:autoSpaceDN w:val="0"/>
              <w:adjustRightInd w:val="0"/>
              <w:textAlignment w:val="baseline"/>
              <w:rPr>
                <w:rFonts w:ascii="Arial" w:eastAsiaTheme="minorEastAsia" w:hAnsi="Arial" w:cs="Arial"/>
                <w:sz w:val="18"/>
                <w:szCs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6E8E569B" w14:textId="26BB6D70" w:rsidR="00B97A81" w:rsidRPr="00F74E1D" w:rsidRDefault="00B97A81" w:rsidP="00B97A81">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[Knows RX beam of predicted TX beam in setA in BM-case-2 if the predicted Tx beam is not QCL Type-D to a known TX beam]</w:t>
            </w:r>
          </w:p>
        </w:tc>
        <w:tc>
          <w:tcPr>
            <w:tcW w:w="1458" w:type="dxa"/>
          </w:tcPr>
          <w:p w14:paraId="659D69F9" w14:textId="1414B431" w:rsidR="00B97A81" w:rsidRPr="00F74E1D" w:rsidRDefault="00B97A81" w:rsidP="00B97A81">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Pre-requisitng FG: 58-1-4 (RAN1 feature for BM-case-2)</w:t>
            </w:r>
          </w:p>
        </w:tc>
        <w:tc>
          <w:tcPr>
            <w:tcW w:w="1121" w:type="dxa"/>
          </w:tcPr>
          <w:p w14:paraId="62F7646D" w14:textId="4CE55492"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47D483D0" w14:textId="14EA5296"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10" w:type="dxa"/>
          </w:tcPr>
          <w:p w14:paraId="3ED190B7" w14:textId="6098C769" w:rsidR="00B97A81" w:rsidRDefault="00B97A81" w:rsidP="00B97A81">
            <w:pPr>
              <w:keepNext/>
              <w:keepLines/>
              <w:rPr>
                <w:rFonts w:ascii="Arial" w:hAnsi="Arial" w:cs="Arial"/>
                <w:sz w:val="18"/>
                <w:szCs w:val="18"/>
              </w:rPr>
            </w:pPr>
            <w:r w:rsidRPr="00B97A81">
              <w:rPr>
                <w:rFonts w:ascii="Arial" w:hAnsi="Arial" w:cs="Arial"/>
                <w:sz w:val="18"/>
                <w:szCs w:val="18"/>
              </w:rPr>
              <w:t>In BM-case 2, network needs to transmit additional samples of reference signal corresponding to the predicted TX beam of setA so that UE can sweep its RX beams during TCI state switch process when the RS resource for predicted Tx beam is the RS in target TCI state or QCLed to target TCI state.</w:t>
            </w:r>
          </w:p>
        </w:tc>
        <w:tc>
          <w:tcPr>
            <w:tcW w:w="1232" w:type="dxa"/>
          </w:tcPr>
          <w:p w14:paraId="08A98145" w14:textId="09BBBF9A" w:rsidR="00B97A81" w:rsidRDefault="00B97A81" w:rsidP="00B97A81">
            <w:pPr>
              <w:keepNext/>
              <w:keepLines/>
              <w:rPr>
                <w:rFonts w:ascii="Arial" w:hAnsi="Arial" w:cs="Arial"/>
                <w:sz w:val="18"/>
              </w:rPr>
            </w:pPr>
            <w:r>
              <w:rPr>
                <w:rFonts w:ascii="Arial" w:hAnsi="Arial" w:cs="Arial" w:hint="eastAsia"/>
                <w:sz w:val="18"/>
              </w:rPr>
              <w:t>[Per Band]</w:t>
            </w:r>
          </w:p>
        </w:tc>
        <w:tc>
          <w:tcPr>
            <w:tcW w:w="1416" w:type="dxa"/>
          </w:tcPr>
          <w:p w14:paraId="69D0DDCD" w14:textId="02B2227C"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CD9E1FC" w14:textId="06E1909E"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1DBF323A" w14:textId="1675BF44" w:rsidR="00B97A81" w:rsidRDefault="00B97A81" w:rsidP="00B97A81">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N/A</w:t>
            </w:r>
          </w:p>
        </w:tc>
        <w:tc>
          <w:tcPr>
            <w:tcW w:w="1432" w:type="dxa"/>
          </w:tcPr>
          <w:p w14:paraId="4AF69EF4" w14:textId="77777777" w:rsidR="00B97A81" w:rsidRDefault="00B97A81" w:rsidP="00B97A81">
            <w:pPr>
              <w:keepNext/>
              <w:keepLines/>
              <w:overflowPunct w:val="0"/>
              <w:autoSpaceDE w:val="0"/>
              <w:autoSpaceDN w:val="0"/>
              <w:adjustRightInd w:val="0"/>
              <w:jc w:val="center"/>
              <w:textAlignment w:val="baseline"/>
              <w:rPr>
                <w:rFonts w:ascii="Arial" w:hAnsi="Arial" w:cs="Arial"/>
                <w:sz w:val="18"/>
              </w:rPr>
            </w:pPr>
          </w:p>
        </w:tc>
        <w:tc>
          <w:tcPr>
            <w:tcW w:w="1906" w:type="dxa"/>
          </w:tcPr>
          <w:p w14:paraId="723CE635" w14:textId="6B335414" w:rsidR="00B97A81" w:rsidRDefault="00B97A81" w:rsidP="00B97A81">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bl>
    <w:p w14:paraId="6AAEBA4A" w14:textId="272C13C0" w:rsidR="004328AC" w:rsidRDefault="004328AC">
      <w:pPr>
        <w:spacing w:before="60" w:after="60"/>
        <w:rPr>
          <w:rFonts w:ascii="Times New Roman" w:eastAsiaTheme="minorEastAsia" w:hAnsi="Times New Roman" w:cs="Times New Roman"/>
          <w:b/>
          <w:bCs/>
          <w:i/>
          <w:iCs/>
          <w:sz w:val="22"/>
          <w:szCs w:val="22"/>
        </w:rPr>
      </w:pPr>
    </w:p>
    <w:p w14:paraId="346614E5" w14:textId="6C9C4F56" w:rsidR="004328AC" w:rsidRDefault="00000000">
      <w:pPr>
        <w:spacing w:before="60" w:after="60"/>
        <w:rPr>
          <w:rFonts w:ascii="Times New Roman" w:eastAsiaTheme="minorEastAsia" w:hAnsi="Times New Roman" w:cs="Times New Roman"/>
          <w:b/>
          <w:bCs/>
          <w:i/>
          <w:iCs/>
          <w:sz w:val="22"/>
          <w:szCs w:val="22"/>
        </w:rPr>
      </w:pPr>
      <w:r>
        <w:rPr>
          <w:rFonts w:ascii="Times New Roman" w:eastAsiaTheme="minorEastAsia" w:hAnsi="Times New Roman" w:cs="Times New Roman" w:hint="eastAsia"/>
          <w:b/>
          <w:bCs/>
          <w:i/>
          <w:iCs/>
          <w:sz w:val="22"/>
          <w:szCs w:val="22"/>
        </w:rPr>
        <w:t xml:space="preserve">Proposal 1: </w:t>
      </w:r>
      <w:r w:rsidR="007071E3">
        <w:rPr>
          <w:rFonts w:ascii="Times New Roman" w:eastAsiaTheme="minorEastAsia" w:hAnsi="Times New Roman" w:cs="Times New Roman" w:hint="eastAsia"/>
          <w:b/>
          <w:bCs/>
          <w:i/>
          <w:iCs/>
          <w:sz w:val="22"/>
          <w:szCs w:val="22"/>
        </w:rPr>
        <w:t>Use the proposed table as starting point for Rel-19</w:t>
      </w:r>
      <w:r w:rsidR="007071E3" w:rsidRPr="007071E3">
        <w:rPr>
          <w:rFonts w:ascii="Times New Roman" w:eastAsiaTheme="minorEastAsia" w:hAnsi="Times New Roman" w:cs="Times New Roman" w:hint="eastAsia"/>
          <w:b/>
          <w:bCs/>
          <w:i/>
          <w:iCs/>
          <w:sz w:val="22"/>
          <w:szCs w:val="22"/>
        </w:rPr>
        <w:t xml:space="preserve"> NR_AIML_air UE feature</w:t>
      </w:r>
      <w:r w:rsidR="007071E3">
        <w:rPr>
          <w:rFonts w:ascii="Times New Roman" w:eastAsiaTheme="minorEastAsia" w:hAnsi="Times New Roman" w:cs="Times New Roman" w:hint="eastAsia"/>
          <w:b/>
          <w:bCs/>
          <w:i/>
          <w:iCs/>
          <w:sz w:val="22"/>
          <w:szCs w:val="22"/>
        </w:rPr>
        <w:t xml:space="preserve"> discussion</w:t>
      </w:r>
      <w:r>
        <w:rPr>
          <w:rFonts w:ascii="Times New Roman" w:eastAsiaTheme="minorEastAsia" w:hAnsi="Times New Roman" w:cs="Times New Roman" w:hint="eastAsia"/>
          <w:b/>
          <w:bCs/>
          <w:i/>
          <w:iCs/>
          <w:sz w:val="22"/>
          <w:szCs w:val="22"/>
        </w:rPr>
        <w:t>.</w:t>
      </w:r>
    </w:p>
    <w:p w14:paraId="1B087FD0" w14:textId="77777777" w:rsidR="004328AC" w:rsidRDefault="004328AC">
      <w:pPr>
        <w:rPr>
          <w:rFonts w:ascii="Arial" w:eastAsiaTheme="minorEastAsia" w:hAnsi="Arial" w:cs="Arial"/>
          <w:sz w:val="28"/>
          <w:szCs w:val="28"/>
        </w:rPr>
      </w:pPr>
    </w:p>
    <w:p w14:paraId="1327389D" w14:textId="312BAC2F" w:rsidR="004328AC" w:rsidRPr="00B97A81"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eastAsia="ko-KR"/>
        </w:rPr>
      </w:pPr>
      <w:r w:rsidRPr="00B97A81">
        <w:rPr>
          <w:rFonts w:ascii="Arial" w:hAnsi="Arial" w:hint="eastAsia"/>
          <w:sz w:val="36"/>
          <w:szCs w:val="36"/>
        </w:rPr>
        <w:t>Conclusion</w:t>
      </w:r>
    </w:p>
    <w:p w14:paraId="45942EE8" w14:textId="0261D2FE" w:rsidR="001268AD" w:rsidRPr="007071E3" w:rsidRDefault="007071E3" w:rsidP="00655F26">
      <w:pPr>
        <w:spacing w:before="60" w:after="60"/>
        <w:rPr>
          <w:rFonts w:ascii="Times New Roman" w:eastAsiaTheme="minorEastAsia" w:hAnsi="Times New Roman" w:cs="Times New Roman"/>
          <w:b/>
          <w:bCs/>
          <w:i/>
          <w:iCs/>
          <w:sz w:val="22"/>
          <w:szCs w:val="22"/>
        </w:rPr>
      </w:pPr>
      <w:r>
        <w:rPr>
          <w:rFonts w:ascii="Times New Roman" w:eastAsiaTheme="minorEastAsia" w:hAnsi="Times New Roman" w:cs="Times New Roman" w:hint="eastAsia"/>
          <w:b/>
          <w:bCs/>
          <w:i/>
          <w:iCs/>
          <w:sz w:val="22"/>
          <w:szCs w:val="22"/>
        </w:rPr>
        <w:t>Proposal 1: Use the proposed table as starting point for Rel-19</w:t>
      </w:r>
      <w:r w:rsidRPr="007071E3">
        <w:rPr>
          <w:rFonts w:ascii="Times New Roman" w:eastAsiaTheme="minorEastAsia" w:hAnsi="Times New Roman" w:cs="Times New Roman" w:hint="eastAsia"/>
          <w:b/>
          <w:bCs/>
          <w:i/>
          <w:iCs/>
          <w:sz w:val="22"/>
          <w:szCs w:val="22"/>
        </w:rPr>
        <w:t xml:space="preserve"> NR_AIML_air UE feature</w:t>
      </w:r>
      <w:r>
        <w:rPr>
          <w:rFonts w:ascii="Times New Roman" w:eastAsiaTheme="minorEastAsia" w:hAnsi="Times New Roman" w:cs="Times New Roman" w:hint="eastAsia"/>
          <w:b/>
          <w:bCs/>
          <w:i/>
          <w:iCs/>
          <w:sz w:val="22"/>
          <w:szCs w:val="22"/>
        </w:rPr>
        <w:t xml:space="preserve"> discussion.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328AC" w14:paraId="2E2DF00B" w14:textId="77777777">
        <w:trPr>
          <w:trHeight w:val="20"/>
        </w:trPr>
        <w:tc>
          <w:tcPr>
            <w:tcW w:w="2037" w:type="dxa"/>
          </w:tcPr>
          <w:p w14:paraId="033CD3D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4AED3365"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4D42C581"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2D116340" w14:textId="77777777" w:rsidR="004328AC" w:rsidRDefault="0000000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BE2F115" w14:textId="77777777" w:rsidR="004328AC" w:rsidRDefault="004328AC">
            <w:pPr>
              <w:keepNext/>
              <w:keepLines/>
              <w:overflowPunct w:val="0"/>
              <w:autoSpaceDE w:val="0"/>
              <w:autoSpaceDN w:val="0"/>
              <w:adjustRightInd w:val="0"/>
              <w:jc w:val="center"/>
              <w:textAlignment w:val="baseline"/>
              <w:rPr>
                <w:rFonts w:ascii="Arial" w:hAnsi="Arial" w:cs="Arial"/>
                <w:b/>
                <w:sz w:val="18"/>
              </w:rPr>
            </w:pPr>
          </w:p>
        </w:tc>
        <w:tc>
          <w:tcPr>
            <w:tcW w:w="1458" w:type="dxa"/>
          </w:tcPr>
          <w:p w14:paraId="299D38E6"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77248A00"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414" w:type="dxa"/>
          </w:tcPr>
          <w:p w14:paraId="06BD887A"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1AEAF392" w14:textId="77777777" w:rsidR="004328AC" w:rsidRDefault="0000000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54CCDF33" w14:textId="77777777" w:rsidR="004328AC" w:rsidRDefault="00000000">
            <w:pPr>
              <w:keepNext/>
              <w:keepLines/>
              <w:rPr>
                <w:rFonts w:ascii="Arial" w:hAnsi="Arial" w:cs="Arial"/>
                <w:b/>
                <w:sz w:val="18"/>
              </w:rPr>
            </w:pPr>
            <w:r>
              <w:rPr>
                <w:rFonts w:ascii="Arial" w:hAnsi="Arial" w:cs="Arial"/>
                <w:b/>
                <w:sz w:val="18"/>
              </w:rPr>
              <w:t>Type</w:t>
            </w:r>
          </w:p>
          <w:p w14:paraId="76D1D05D" w14:textId="77777777" w:rsidR="004328AC" w:rsidRDefault="0000000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20AEEAB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6C30086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08179D13"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693981CF"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1EF3458E" w14:textId="77777777" w:rsidR="004328AC" w:rsidRDefault="0000000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1268AD" w14:paraId="625F81E9" w14:textId="77777777">
        <w:trPr>
          <w:trHeight w:val="20"/>
        </w:trPr>
        <w:tc>
          <w:tcPr>
            <w:tcW w:w="2037" w:type="dxa"/>
          </w:tcPr>
          <w:p w14:paraId="536206FB" w14:textId="3CB2E9E0"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7071E3">
              <w:rPr>
                <w:rFonts w:ascii="Arial" w:eastAsiaTheme="minorEastAsia" w:hAnsi="Arial" w:cs="Arial" w:hint="eastAsia"/>
                <w:sz w:val="18"/>
                <w:szCs w:val="18"/>
              </w:rPr>
              <w:t>9</w:t>
            </w:r>
            <w:r>
              <w:rPr>
                <w:rFonts w:ascii="Arial" w:eastAsiaTheme="minorEastAsia" w:hAnsi="Arial" w:cs="Arial" w:hint="eastAsia"/>
                <w:sz w:val="18"/>
                <w:szCs w:val="18"/>
              </w:rPr>
              <w:t xml:space="preserve">. </w:t>
            </w:r>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
          <w:p w14:paraId="7D3501C5" w14:textId="77777777"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75E7B2E9" w14:textId="72C5317F" w:rsidR="001268AD" w:rsidRDefault="001268AD" w:rsidP="001268AD">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7071E3">
              <w:rPr>
                <w:rFonts w:ascii="Arial" w:eastAsiaTheme="minorEastAsia" w:hAnsi="Arial" w:cs="Arial" w:hint="eastAsia"/>
                <w:sz w:val="18"/>
              </w:rPr>
              <w:t>9</w:t>
            </w:r>
            <w:r>
              <w:rPr>
                <w:rFonts w:ascii="Arial" w:eastAsiaTheme="minorEastAsia" w:hAnsi="Arial" w:cs="Arial" w:hint="eastAsia"/>
                <w:sz w:val="18"/>
              </w:rPr>
              <w:t>-1-x]</w:t>
            </w:r>
          </w:p>
        </w:tc>
        <w:tc>
          <w:tcPr>
            <w:tcW w:w="1327" w:type="dxa"/>
          </w:tcPr>
          <w:p w14:paraId="23E2761D" w14:textId="4DF5605F"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79117F83" w14:textId="597F0470" w:rsidR="001268AD" w:rsidRDefault="001268AD" w:rsidP="001268AD">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[Knows RX beam of predicted TX beam in setA in BM-case 1 if the predicted Tx beam is not QCL Type-D to a known TX beam]</w:t>
            </w:r>
          </w:p>
        </w:tc>
        <w:tc>
          <w:tcPr>
            <w:tcW w:w="1458" w:type="dxa"/>
          </w:tcPr>
          <w:p w14:paraId="3945F8E5" w14:textId="78DA140D"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Pre-requisitng FG: 58-1-2 (RAN1 feature for BM-case-1)</w:t>
            </w:r>
          </w:p>
        </w:tc>
        <w:tc>
          <w:tcPr>
            <w:tcW w:w="1121" w:type="dxa"/>
          </w:tcPr>
          <w:p w14:paraId="4EDFE303" w14:textId="61402EFB"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2B2DFA2D" w14:textId="7657418D" w:rsidR="001268AD" w:rsidRDefault="001268AD" w:rsidP="001268AD">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58F80F8F" w14:textId="0C7AAD6B" w:rsidR="001268AD" w:rsidRDefault="001268AD" w:rsidP="001268AD">
            <w:pPr>
              <w:keepNext/>
              <w:keepLines/>
              <w:rPr>
                <w:rFonts w:ascii="Arial" w:hAnsi="Arial" w:cs="Arial"/>
                <w:sz w:val="18"/>
              </w:rPr>
            </w:pPr>
            <w:r>
              <w:rPr>
                <w:rFonts w:ascii="Arial" w:hAnsi="Arial" w:cs="Arial" w:hint="eastAsia"/>
                <w:sz w:val="18"/>
              </w:rPr>
              <w:t>[</w:t>
            </w:r>
            <w:r w:rsidRPr="00F74E1D">
              <w:rPr>
                <w:rFonts w:ascii="Arial" w:hAnsi="Arial" w:cs="Arial" w:hint="eastAsia"/>
                <w:sz w:val="18"/>
              </w:rPr>
              <w:t>In BM-case 1, network needs to transmit additional samples of reference signal corresponding to the predicted TX beam of setA so that UE can sweep its RX beams during TCI state switch process when the RS resource for predicted Tx beam is the RS in target TCI state or QCLed to target TCI state.</w:t>
            </w:r>
            <w:r>
              <w:rPr>
                <w:rFonts w:ascii="Arial" w:hAnsi="Arial" w:cs="Arial" w:hint="eastAsia"/>
                <w:sz w:val="18"/>
              </w:rPr>
              <w:t>]</w:t>
            </w:r>
          </w:p>
        </w:tc>
        <w:tc>
          <w:tcPr>
            <w:tcW w:w="1232" w:type="dxa"/>
          </w:tcPr>
          <w:p w14:paraId="08AF68EF" w14:textId="595BAAA0" w:rsidR="001268AD" w:rsidRDefault="001268AD" w:rsidP="001268AD">
            <w:pPr>
              <w:keepNext/>
              <w:keepLines/>
              <w:rPr>
                <w:rFonts w:ascii="Arial" w:hAnsi="Arial" w:cs="Arial"/>
                <w:sz w:val="18"/>
              </w:rPr>
            </w:pPr>
            <w:r>
              <w:rPr>
                <w:rFonts w:ascii="Arial" w:hAnsi="Arial" w:cs="Arial" w:hint="eastAsia"/>
                <w:sz w:val="18"/>
              </w:rPr>
              <w:t>[Per Band]</w:t>
            </w:r>
          </w:p>
        </w:tc>
        <w:tc>
          <w:tcPr>
            <w:tcW w:w="1416" w:type="dxa"/>
          </w:tcPr>
          <w:p w14:paraId="3EDD8A4E" w14:textId="2CADA447"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7CD5BD34" w14:textId="1C83FDB4"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4715CCF0" w14:textId="0EA8A7ED"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6D1535E2" w14:textId="233F1535"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5B50D540" w14:textId="773EF826" w:rsidR="001268AD" w:rsidRDefault="001268AD" w:rsidP="001268AD">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r w:rsidR="001268AD" w14:paraId="0CC44277" w14:textId="77777777">
        <w:trPr>
          <w:trHeight w:val="20"/>
        </w:trPr>
        <w:tc>
          <w:tcPr>
            <w:tcW w:w="2037" w:type="dxa"/>
          </w:tcPr>
          <w:p w14:paraId="0D5E1D27" w14:textId="77777777" w:rsidR="001268AD" w:rsidRDefault="001268AD" w:rsidP="001268AD">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6E910E59" w14:textId="76D948C4" w:rsidR="001268AD" w:rsidRDefault="001268AD" w:rsidP="001268AD">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7071E3">
              <w:rPr>
                <w:rFonts w:ascii="Arial" w:eastAsiaTheme="minorEastAsia" w:hAnsi="Arial" w:cs="Arial" w:hint="eastAsia"/>
                <w:sz w:val="18"/>
              </w:rPr>
              <w:t>9</w:t>
            </w:r>
            <w:r>
              <w:rPr>
                <w:rFonts w:ascii="Arial" w:eastAsiaTheme="minorEastAsia" w:hAnsi="Arial" w:cs="Arial" w:hint="eastAsia"/>
                <w:sz w:val="18"/>
              </w:rPr>
              <w:t>-1-y]</w:t>
            </w:r>
          </w:p>
        </w:tc>
        <w:tc>
          <w:tcPr>
            <w:tcW w:w="1327" w:type="dxa"/>
          </w:tcPr>
          <w:p w14:paraId="4DE05A7A" w14:textId="5D5F19F4"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32FBD4C3" w14:textId="24737A9C" w:rsidR="001268AD" w:rsidRDefault="001268AD" w:rsidP="001268AD">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[Knows RX beam of predicted TX beam in setA in BM-case-2 if the predicted Tx beam is not QCL Type-D to a known TX beam]</w:t>
            </w:r>
          </w:p>
        </w:tc>
        <w:tc>
          <w:tcPr>
            <w:tcW w:w="1458" w:type="dxa"/>
          </w:tcPr>
          <w:p w14:paraId="021DF989" w14:textId="7D338BC2"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Pre-requisitng FG: 58-1-4 (RAN1 feature for BM-case-2)</w:t>
            </w:r>
          </w:p>
        </w:tc>
        <w:tc>
          <w:tcPr>
            <w:tcW w:w="1121" w:type="dxa"/>
          </w:tcPr>
          <w:p w14:paraId="52FAB531" w14:textId="3D85908E"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7705EA06" w14:textId="480773D3" w:rsidR="001268AD" w:rsidRDefault="001268AD" w:rsidP="001268AD">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38EFD520" w14:textId="0356EFF3" w:rsidR="001268AD" w:rsidRDefault="001268AD" w:rsidP="001268AD">
            <w:pPr>
              <w:keepNext/>
              <w:keepLines/>
              <w:rPr>
                <w:rFonts w:ascii="Arial" w:hAnsi="Arial" w:cs="Arial"/>
                <w:sz w:val="18"/>
              </w:rPr>
            </w:pPr>
            <w:r>
              <w:rPr>
                <w:rFonts w:ascii="Arial" w:hAnsi="Arial" w:cs="Arial" w:hint="eastAsia"/>
                <w:sz w:val="18"/>
                <w:szCs w:val="18"/>
              </w:rPr>
              <w:t>[</w:t>
            </w:r>
            <w:r w:rsidRPr="00B97A81">
              <w:rPr>
                <w:rFonts w:ascii="Arial" w:hAnsi="Arial" w:cs="Arial"/>
                <w:sz w:val="18"/>
                <w:szCs w:val="18"/>
              </w:rPr>
              <w:t>In BM-case 2, network needs to transmit additional samples of reference signal corresponding to the predicted TX beam of setA so that UE can sweep its RX beams during TCI state switch process when the RS resource for predicted Tx beam is the RS in target TCI state or QCLed to target TCI state.</w:t>
            </w:r>
            <w:r>
              <w:rPr>
                <w:rFonts w:ascii="Arial" w:hAnsi="Arial" w:cs="Arial" w:hint="eastAsia"/>
                <w:sz w:val="18"/>
                <w:szCs w:val="18"/>
              </w:rPr>
              <w:t>]</w:t>
            </w:r>
          </w:p>
        </w:tc>
        <w:tc>
          <w:tcPr>
            <w:tcW w:w="1232" w:type="dxa"/>
          </w:tcPr>
          <w:p w14:paraId="63D00AA8" w14:textId="6C8A50F4" w:rsidR="001268AD" w:rsidRDefault="001268AD" w:rsidP="001268AD">
            <w:pPr>
              <w:keepNext/>
              <w:keepLines/>
              <w:rPr>
                <w:rFonts w:ascii="Arial" w:hAnsi="Arial" w:cs="Arial"/>
                <w:sz w:val="18"/>
              </w:rPr>
            </w:pPr>
            <w:r>
              <w:rPr>
                <w:rFonts w:ascii="Arial" w:hAnsi="Arial" w:cs="Arial" w:hint="eastAsia"/>
                <w:sz w:val="18"/>
              </w:rPr>
              <w:t>[Per Band]</w:t>
            </w:r>
          </w:p>
        </w:tc>
        <w:tc>
          <w:tcPr>
            <w:tcW w:w="1416" w:type="dxa"/>
          </w:tcPr>
          <w:p w14:paraId="3F35CDA9" w14:textId="1150A139"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0E1FA530" w14:textId="5D45AF7E" w:rsidR="001268AD" w:rsidRDefault="001268AD" w:rsidP="001268AD">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6F10DF47" w14:textId="556A5FEB"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5529383" w14:textId="77777777" w:rsidR="001268AD" w:rsidRDefault="001268AD" w:rsidP="001268AD">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7BF1F801" w14:textId="6CEEB0D5" w:rsidR="001268AD" w:rsidRDefault="001268AD" w:rsidP="001268AD">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[Optional with capability signaling]</w:t>
            </w:r>
          </w:p>
        </w:tc>
      </w:tr>
    </w:tbl>
    <w:p w14:paraId="3D9A3809" w14:textId="77777777" w:rsidR="004328AC" w:rsidRDefault="004328AC">
      <w:pPr>
        <w:rPr>
          <w:rFonts w:ascii="Arial" w:eastAsiaTheme="minorEastAsia" w:hAnsi="Arial" w:cs="Arial"/>
          <w:sz w:val="28"/>
          <w:szCs w:val="28"/>
        </w:rPr>
      </w:pPr>
    </w:p>
    <w:p w14:paraId="63237B1C" w14:textId="77777777" w:rsidR="004328AC" w:rsidRDefault="00000000" w:rsidP="00B97A81">
      <w:pPr>
        <w:pStyle w:val="aff7"/>
        <w:keepNext/>
        <w:keepLines/>
        <w:numPr>
          <w:ilvl w:val="0"/>
          <w:numId w:val="7"/>
        </w:numPr>
        <w:pBdr>
          <w:top w:val="single" w:sz="4" w:space="0" w:color="auto"/>
        </w:pBd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宋体" w:hAnsi="Arial" w:hint="eastAsia"/>
          <w:sz w:val="36"/>
          <w:szCs w:val="36"/>
          <w:lang w:val="en-US" w:eastAsia="zh-CN"/>
        </w:rPr>
        <w:lastRenderedPageBreak/>
        <w:t>Reference</w:t>
      </w:r>
    </w:p>
    <w:p w14:paraId="5D5535DD" w14:textId="54FAD783" w:rsidR="004328AC" w:rsidRDefault="00000000">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[1] </w:t>
      </w:r>
      <w:r w:rsidR="001268AD" w:rsidRPr="001268AD">
        <w:rPr>
          <w:rFonts w:ascii="Times New Roman" w:eastAsiaTheme="minorEastAsia" w:hAnsi="Times New Roman" w:cs="Times New Roman" w:hint="eastAsia"/>
          <w:sz w:val="22"/>
          <w:szCs w:val="22"/>
        </w:rPr>
        <w:t>R4-2508080</w:t>
      </w:r>
      <w:r w:rsidR="001268AD" w:rsidRPr="001268AD">
        <w:rPr>
          <w:rFonts w:ascii="Times New Roman" w:eastAsiaTheme="minorEastAsia" w:hAnsi="Times New Roman" w:cs="Times New Roman" w:hint="eastAsia"/>
          <w:sz w:val="22"/>
          <w:szCs w:val="22"/>
        </w:rPr>
        <w:tab/>
        <w:t>WF on NR_AIML_air_part1</w:t>
      </w:r>
      <w:r>
        <w:rPr>
          <w:rFonts w:ascii="Times New Roman" w:eastAsiaTheme="minorEastAsia" w:hAnsi="Times New Roman" w:cs="Times New Roman" w:hint="eastAsia"/>
          <w:sz w:val="22"/>
          <w:szCs w:val="22"/>
        </w:rPr>
        <w:t>,</w:t>
      </w:r>
      <w:r w:rsidR="001268AD">
        <w:rPr>
          <w:rFonts w:ascii="Times New Roman" w:eastAsiaTheme="minorEastAsia" w:hAnsi="Times New Roman" w:cs="Times New Roman" w:hint="eastAsia"/>
          <w:sz w:val="22"/>
          <w:szCs w:val="22"/>
        </w:rPr>
        <w:t xml:space="preserve"> Qualcomm</w:t>
      </w:r>
    </w:p>
    <w:p w14:paraId="0BE54035" w14:textId="4644E4D2" w:rsidR="00AB58A0" w:rsidRDefault="00AB58A0">
      <w:pPr>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[2] </w:t>
      </w:r>
      <w:r w:rsidRPr="00AB58A0">
        <w:rPr>
          <w:rFonts w:ascii="Times New Roman" w:eastAsiaTheme="minorEastAsia" w:hAnsi="Times New Roman" w:cs="Times New Roman" w:hint="eastAsia"/>
          <w:sz w:val="22"/>
          <w:szCs w:val="22"/>
        </w:rPr>
        <w:t>R4-2511890</w:t>
      </w:r>
      <w:r w:rsidRPr="00AB58A0">
        <w:rPr>
          <w:rFonts w:ascii="Times New Roman" w:eastAsiaTheme="minorEastAsia" w:hAnsi="Times New Roman" w:cs="Times New Roman" w:hint="eastAsia"/>
          <w:sz w:val="22"/>
          <w:szCs w:val="22"/>
        </w:rPr>
        <w:tab/>
        <w:t xml:space="preserve">WF on AI/ML for air </w:t>
      </w:r>
      <w:proofErr w:type="gramStart"/>
      <w:r w:rsidRPr="00AB58A0">
        <w:rPr>
          <w:rFonts w:ascii="Times New Roman" w:eastAsiaTheme="minorEastAsia" w:hAnsi="Times New Roman" w:cs="Times New Roman" w:hint="eastAsia"/>
          <w:sz w:val="22"/>
          <w:szCs w:val="22"/>
        </w:rPr>
        <w:t>interface</w:t>
      </w:r>
      <w:r>
        <w:rPr>
          <w:rFonts w:ascii="Times New Roman" w:eastAsiaTheme="minorEastAsia" w:hAnsi="Times New Roman" w:cs="Times New Roman" w:hint="eastAsia"/>
          <w:sz w:val="22"/>
          <w:szCs w:val="22"/>
        </w:rPr>
        <w:t xml:space="preserve"> </w:t>
      </w:r>
      <w:r w:rsidRPr="00AB58A0">
        <w:rPr>
          <w:rFonts w:ascii="Times New Roman" w:eastAsiaTheme="minorEastAsia" w:hAnsi="Times New Roman" w:cs="Times New Roman" w:hint="eastAsia"/>
          <w:sz w:val="22"/>
          <w:szCs w:val="22"/>
        </w:rPr>
        <w:t xml:space="preserve"> [</w:t>
      </w:r>
      <w:proofErr w:type="gramEnd"/>
      <w:r w:rsidRPr="00AB58A0">
        <w:rPr>
          <w:rFonts w:ascii="Times New Roman" w:eastAsiaTheme="minorEastAsia" w:hAnsi="Times New Roman" w:cs="Times New Roman" w:hint="eastAsia"/>
          <w:sz w:val="22"/>
          <w:szCs w:val="22"/>
        </w:rPr>
        <w:t>116][131]</w:t>
      </w:r>
      <w:r>
        <w:rPr>
          <w:rFonts w:ascii="Times New Roman" w:eastAsiaTheme="minorEastAsia" w:hAnsi="Times New Roman" w:cs="Times New Roman" w:hint="eastAsia"/>
          <w:sz w:val="22"/>
          <w:szCs w:val="22"/>
        </w:rPr>
        <w:t>, Qualcomm</w:t>
      </w:r>
    </w:p>
    <w:p w14:paraId="4AF12A16" w14:textId="351E3681" w:rsidR="007071E3" w:rsidRDefault="007071E3">
      <w:pPr>
        <w:rPr>
          <w:rFonts w:ascii="Arial" w:eastAsiaTheme="minorEastAsia" w:hAnsi="Arial" w:cs="Arial"/>
          <w:sz w:val="28"/>
          <w:szCs w:val="28"/>
        </w:rPr>
      </w:pPr>
      <w:r>
        <w:rPr>
          <w:rFonts w:ascii="Times New Roman" w:eastAsiaTheme="minorEastAsia" w:hAnsi="Times New Roman" w:cs="Times New Roman" w:hint="eastAsia"/>
          <w:sz w:val="22"/>
          <w:szCs w:val="22"/>
        </w:rPr>
        <w:t>[</w:t>
      </w:r>
      <w:r w:rsidR="00AB58A0">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 xml:space="preserve">] </w:t>
      </w:r>
      <w:r w:rsidRPr="007071E3">
        <w:rPr>
          <w:rFonts w:ascii="Times New Roman" w:eastAsiaTheme="minorEastAsia" w:hAnsi="Times New Roman" w:cs="Times New Roman" w:hint="eastAsia"/>
          <w:sz w:val="22"/>
          <w:szCs w:val="22"/>
        </w:rPr>
        <w:t>R4-2511883</w:t>
      </w:r>
      <w:r w:rsidRPr="007071E3">
        <w:rPr>
          <w:rFonts w:ascii="Times New Roman" w:eastAsiaTheme="minorEastAsia" w:hAnsi="Times New Roman" w:cs="Times New Roman" w:hint="eastAsia"/>
          <w:sz w:val="22"/>
          <w:szCs w:val="22"/>
        </w:rPr>
        <w:tab/>
        <w:t>R</w:t>
      </w:r>
      <w:proofErr w:type="gramStart"/>
      <w:r w:rsidRPr="007071E3">
        <w:rPr>
          <w:rFonts w:ascii="Times New Roman" w:eastAsiaTheme="minorEastAsia" w:hAnsi="Times New Roman" w:cs="Times New Roman" w:hint="eastAsia"/>
          <w:sz w:val="22"/>
          <w:szCs w:val="22"/>
        </w:rPr>
        <w:t>19</w:t>
      </w:r>
      <w:r>
        <w:rPr>
          <w:rFonts w:ascii="Times New Roman" w:eastAsiaTheme="minorEastAsia" w:hAnsi="Times New Roman" w:cs="Times New Roman" w:hint="eastAsia"/>
          <w:sz w:val="22"/>
          <w:szCs w:val="22"/>
        </w:rPr>
        <w:t xml:space="preserve"> </w:t>
      </w:r>
      <w:r w:rsidRPr="007071E3">
        <w:rPr>
          <w:rFonts w:ascii="Times New Roman" w:eastAsiaTheme="minorEastAsia" w:hAnsi="Times New Roman" w:cs="Times New Roman" w:hint="eastAsia"/>
          <w:sz w:val="22"/>
          <w:szCs w:val="22"/>
        </w:rPr>
        <w:t xml:space="preserve"> RAN</w:t>
      </w:r>
      <w:proofErr w:type="gramEnd"/>
      <w:r w:rsidRPr="007071E3">
        <w:rPr>
          <w:rFonts w:ascii="Times New Roman" w:eastAsiaTheme="minorEastAsia" w:hAnsi="Times New Roman" w:cs="Times New Roman" w:hint="eastAsia"/>
          <w:sz w:val="22"/>
          <w:szCs w:val="22"/>
        </w:rPr>
        <w:t>4 UE feature list for NR</w:t>
      </w:r>
      <w:r>
        <w:rPr>
          <w:rFonts w:ascii="Times New Roman" w:eastAsiaTheme="minorEastAsia" w:hAnsi="Times New Roman" w:cs="Times New Roman" w:hint="eastAsia"/>
          <w:sz w:val="22"/>
          <w:szCs w:val="22"/>
        </w:rPr>
        <w:t xml:space="preserve"> CMCC</w:t>
      </w:r>
    </w:p>
    <w:sectPr w:rsidR="007071E3">
      <w:footerReference w:type="default" r:id="rId13"/>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7F88" w14:textId="77777777" w:rsidR="00C47E86" w:rsidRDefault="00C47E86">
      <w:pPr>
        <w:rPr>
          <w:rFonts w:hint="eastAsia"/>
        </w:rPr>
      </w:pPr>
      <w:r>
        <w:separator/>
      </w:r>
    </w:p>
  </w:endnote>
  <w:endnote w:type="continuationSeparator" w:id="0">
    <w:p w14:paraId="4B5DFD47" w14:textId="77777777" w:rsidR="00C47E86" w:rsidRDefault="00C47E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4328AC" w:rsidRDefault="00000000">
    <w:pPr>
      <w:pStyle w:val="af6"/>
      <w:jc w:val="center"/>
      <w:rPr>
        <w:sz w:val="22"/>
      </w:rPr>
    </w:pPr>
    <w:r>
      <w:rPr>
        <w:rStyle w:val="aff1"/>
        <w:rFonts w:eastAsia="MS Gothic"/>
      </w:rPr>
      <w:t xml:space="preserve">- </w:t>
    </w:r>
    <w:r>
      <w:rPr>
        <w:rStyle w:val="aff1"/>
        <w:rFonts w:eastAsia="MS Gothic"/>
      </w:rPr>
      <w:fldChar w:fldCharType="begin"/>
    </w:r>
    <w:r>
      <w:rPr>
        <w:rStyle w:val="aff1"/>
        <w:rFonts w:eastAsia="MS Gothic"/>
      </w:rPr>
      <w:instrText xml:space="preserve"> PAGE </w:instrText>
    </w:r>
    <w:r>
      <w:rPr>
        <w:rStyle w:val="aff1"/>
        <w:rFonts w:eastAsia="MS Gothic"/>
      </w:rPr>
      <w:fldChar w:fldCharType="separate"/>
    </w:r>
    <w:r>
      <w:rPr>
        <w:rStyle w:val="aff1"/>
        <w:rFonts w:eastAsia="MS Gothic"/>
      </w:rPr>
      <w:t>1</w:t>
    </w:r>
    <w:r>
      <w:rPr>
        <w:rStyle w:val="aff1"/>
        <w:rFonts w:eastAsia="MS Gothic"/>
      </w:rPr>
      <w:fldChar w:fldCharType="end"/>
    </w:r>
    <w:r>
      <w:rPr>
        <w:rStyle w:val="aff1"/>
        <w:rFonts w:eastAsia="MS Gothic"/>
      </w:rPr>
      <w:t>/</w:t>
    </w:r>
    <w:r>
      <w:rPr>
        <w:rStyle w:val="aff1"/>
        <w:rFonts w:eastAsia="MS Gothic"/>
      </w:rPr>
      <w:fldChar w:fldCharType="begin"/>
    </w:r>
    <w:r>
      <w:rPr>
        <w:rStyle w:val="aff1"/>
        <w:rFonts w:eastAsia="MS Gothic"/>
      </w:rPr>
      <w:instrText xml:space="preserve"> NUMPAGES </w:instrText>
    </w:r>
    <w:r>
      <w:rPr>
        <w:rStyle w:val="aff1"/>
        <w:rFonts w:eastAsia="MS Gothic"/>
      </w:rPr>
      <w:fldChar w:fldCharType="separate"/>
    </w:r>
    <w:r>
      <w:rPr>
        <w:rStyle w:val="aff1"/>
        <w:rFonts w:eastAsia="MS Gothic"/>
      </w:rPr>
      <w:t>15</w:t>
    </w:r>
    <w:r>
      <w:rPr>
        <w:rStyle w:val="aff1"/>
        <w:rFonts w:eastAsia="MS Gothic"/>
      </w:rPr>
      <w:fldChar w:fldCharType="end"/>
    </w:r>
    <w:r>
      <w:rPr>
        <w:rStyle w:val="af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1325" w14:textId="77777777" w:rsidR="00C47E86" w:rsidRDefault="00C47E86">
      <w:pPr>
        <w:rPr>
          <w:rFonts w:hint="eastAsia"/>
        </w:rPr>
      </w:pPr>
      <w:r>
        <w:separator/>
      </w:r>
    </w:p>
  </w:footnote>
  <w:footnote w:type="continuationSeparator" w:id="0">
    <w:p w14:paraId="7AD6081F" w14:textId="77777777" w:rsidR="00C47E86" w:rsidRDefault="00C47E8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5BC0D"/>
    <w:multiLevelType w:val="multilevel"/>
    <w:tmpl w:val="8465BC0D"/>
    <w:lvl w:ilvl="0">
      <w:start w:val="50"/>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233D5A"/>
    <w:multiLevelType w:val="multilevel"/>
    <w:tmpl w:val="20233D5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F4F4542"/>
    <w:multiLevelType w:val="hybridMultilevel"/>
    <w:tmpl w:val="D9C4E4EC"/>
    <w:lvl w:ilvl="0" w:tplc="E6D03C46">
      <w:start w:val="59"/>
      <w:numFmt w:val="decimal"/>
      <w:lvlText w:val="%1."/>
      <w:lvlJc w:val="left"/>
      <w:pPr>
        <w:ind w:left="405" w:hanging="405"/>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10915233">
    <w:abstractNumId w:val="1"/>
  </w:num>
  <w:num w:numId="2" w16cid:durableId="646710638">
    <w:abstractNumId w:val="4"/>
  </w:num>
  <w:num w:numId="3" w16cid:durableId="819618185">
    <w:abstractNumId w:val="8"/>
  </w:num>
  <w:num w:numId="4" w16cid:durableId="1070418979">
    <w:abstractNumId w:val="9"/>
  </w:num>
  <w:num w:numId="5" w16cid:durableId="35395001">
    <w:abstractNumId w:val="3"/>
  </w:num>
  <w:num w:numId="6" w16cid:durableId="1466387201">
    <w:abstractNumId w:val="7"/>
  </w:num>
  <w:num w:numId="7" w16cid:durableId="1143699989">
    <w:abstractNumId w:val="2"/>
  </w:num>
  <w:num w:numId="8" w16cid:durableId="2037808735">
    <w:abstractNumId w:val="6"/>
  </w:num>
  <w:num w:numId="9" w16cid:durableId="796874568">
    <w:abstractNumId w:val="0"/>
  </w:num>
  <w:num w:numId="10" w16cid:durableId="1995137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7EA"/>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68C"/>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35C"/>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8AD"/>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B48"/>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8AC"/>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982"/>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3F8"/>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3E"/>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840"/>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B7D19"/>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3DF"/>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26"/>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1E3"/>
    <w:rsid w:val="00707324"/>
    <w:rsid w:val="007073A8"/>
    <w:rsid w:val="00707583"/>
    <w:rsid w:val="007078A2"/>
    <w:rsid w:val="0070793C"/>
    <w:rsid w:val="0070795E"/>
    <w:rsid w:val="00707A88"/>
    <w:rsid w:val="00707D6D"/>
    <w:rsid w:val="00707E1C"/>
    <w:rsid w:val="00707EE9"/>
    <w:rsid w:val="00707EFD"/>
    <w:rsid w:val="00710092"/>
    <w:rsid w:val="007102E9"/>
    <w:rsid w:val="00710432"/>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7D0"/>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2FF8"/>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1C0F"/>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E04"/>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8A0"/>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7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A81"/>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025"/>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966"/>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572"/>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E86"/>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8B"/>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B2D"/>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24"/>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CB6"/>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165"/>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E1D"/>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9E32C83"/>
    <w:rsid w:val="1AC82352"/>
    <w:rsid w:val="1EB61A0B"/>
    <w:rsid w:val="20375EE0"/>
    <w:rsid w:val="21D432E8"/>
    <w:rsid w:val="2F6D07E6"/>
    <w:rsid w:val="319C3C7C"/>
    <w:rsid w:val="31C31166"/>
    <w:rsid w:val="335C2048"/>
    <w:rsid w:val="38CF400D"/>
    <w:rsid w:val="3BB06AD9"/>
    <w:rsid w:val="3BEB6A00"/>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7296702"/>
    <w:rsid w:val="78CD52EA"/>
    <w:rsid w:val="796E355B"/>
    <w:rsid w:val="79D64DCC"/>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6CF47"/>
  <w15:docId w15:val="{3D61804C-9E5F-40AD-B7C8-B730C017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宋体" w:eastAsia="宋体" w:hAnsi="宋体" w:cs="宋体"/>
      <w:sz w:val="24"/>
      <w:szCs w:val="24"/>
    </w:rPr>
  </w:style>
  <w:style w:type="paragraph" w:styleId="1">
    <w:name w:val="heading 1"/>
    <w:basedOn w:val="a0"/>
    <w:next w:val="a0"/>
    <w:qFormat/>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pPr>
      <w:keepNext/>
      <w:jc w:val="right"/>
      <w:outlineLvl w:val="3"/>
    </w:pPr>
    <w:rPr>
      <w:rFonts w:ascii="Arial" w:eastAsia="MS Gothic" w:hAnsi="Arial" w:cs="Times New Roman"/>
      <w:i/>
      <w:szCs w:val="20"/>
      <w:lang w:val="en-GB" w:eastAsia="ja-JP"/>
    </w:rPr>
  </w:style>
  <w:style w:type="paragraph" w:styleId="5">
    <w:name w:val="heading 5"/>
    <w:basedOn w:val="a0"/>
    <w:next w:val="a0"/>
    <w:qFormat/>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pPr>
      <w:spacing w:before="240" w:after="60"/>
      <w:outlineLvl w:val="6"/>
    </w:pPr>
    <w:rPr>
      <w:rFonts w:ascii="Arial" w:eastAsia="MS Gothic" w:hAnsi="Arial" w:cs="Times New Roman"/>
      <w:szCs w:val="20"/>
      <w:lang w:val="en-GB" w:eastAsia="ja-JP"/>
    </w:rPr>
  </w:style>
  <w:style w:type="paragraph" w:styleId="8">
    <w:name w:val="heading 8"/>
    <w:basedOn w:val="a0"/>
    <w:next w:val="a0"/>
    <w:qFormat/>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pPr>
      <w:spacing w:before="120" w:after="120"/>
    </w:pPr>
    <w:rPr>
      <w:rFonts w:ascii="Times New Roman" w:eastAsia="MS Gothic" w:hAnsi="Times New Roman" w:cs="Times New Roman"/>
      <w:b/>
      <w:szCs w:val="20"/>
      <w:lang w:val="en-GB" w:eastAsia="ja-JP"/>
    </w:rPr>
  </w:style>
  <w:style w:type="paragraph" w:styleId="a8">
    <w:name w:val="List Bullet"/>
    <w:basedOn w:val="a0"/>
    <w:qFormat/>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pPr>
      <w:shd w:val="clear" w:color="auto" w:fill="000080"/>
    </w:pPr>
    <w:rPr>
      <w:rFonts w:ascii="Tahoma" w:eastAsia="MS Gothic" w:hAnsi="Tahoma" w:cs="Times New Roman"/>
      <w:szCs w:val="20"/>
      <w:lang w:val="en-GB" w:eastAsia="ja-JP"/>
    </w:rPr>
  </w:style>
  <w:style w:type="paragraph" w:styleId="aa">
    <w:name w:val="annotation text"/>
    <w:basedOn w:val="a0"/>
    <w:link w:val="ab"/>
    <w:qFormat/>
    <w:rPr>
      <w:rFonts w:ascii="Times New Roman" w:eastAsia="MS Gothic" w:hAnsi="Times New Roman" w:cs="Times New Roman"/>
      <w:sz w:val="20"/>
      <w:szCs w:val="20"/>
      <w:lang w:val="en-GB" w:eastAsia="ja-JP"/>
    </w:rPr>
  </w:style>
  <w:style w:type="paragraph" w:styleId="32">
    <w:name w:val="Body Text 3"/>
    <w:basedOn w:val="a0"/>
    <w:qFormat/>
    <w:pPr>
      <w:jc w:val="both"/>
    </w:pPr>
    <w:rPr>
      <w:rFonts w:ascii="Times New Roman" w:eastAsia="MS Gothic" w:hAnsi="Times New Roman" w:cs="Times New Roman"/>
      <w:szCs w:val="20"/>
      <w:lang w:val="en-GB" w:eastAsia="ja-JP"/>
    </w:rPr>
  </w:style>
  <w:style w:type="paragraph" w:styleId="ac">
    <w:name w:val="Closing"/>
    <w:basedOn w:val="a0"/>
    <w:link w:val="ad"/>
    <w:qFormat/>
    <w:pPr>
      <w:jc w:val="right"/>
    </w:pPr>
    <w:rPr>
      <w:rFonts w:ascii="Times New Roman" w:eastAsia="MS Gothic" w:hAnsi="Times New Roman" w:cs="Times New Roman"/>
      <w:b/>
      <w:color w:val="FF0000"/>
      <w:szCs w:val="21"/>
      <w:lang w:eastAsia="ja-JP"/>
    </w:rPr>
  </w:style>
  <w:style w:type="paragraph" w:styleId="ae">
    <w:name w:val="Body Text"/>
    <w:basedOn w:val="a0"/>
    <w:qFormat/>
    <w:pPr>
      <w:spacing w:after="120"/>
    </w:pPr>
    <w:rPr>
      <w:rFonts w:ascii="Times New Roman" w:eastAsia="MS Gothic" w:hAnsi="Times New Roman" w:cs="Times New Roman"/>
      <w:szCs w:val="20"/>
      <w:lang w:val="en-GB" w:eastAsia="ja-JP"/>
    </w:rPr>
  </w:style>
  <w:style w:type="paragraph" w:styleId="af">
    <w:name w:val="Body Text Indent"/>
    <w:basedOn w:val="a0"/>
    <w:qFormat/>
    <w:pPr>
      <w:ind w:left="360"/>
    </w:pPr>
    <w:rPr>
      <w:rFonts w:ascii="Times New Roman" w:eastAsia="MS Gothic" w:hAnsi="Times New Roman" w:cs="Times New Roman"/>
      <w:szCs w:val="20"/>
      <w:lang w:val="en-GB" w:eastAsia="ja-JP"/>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pPr>
      <w:ind w:left="851"/>
    </w:pPr>
  </w:style>
  <w:style w:type="paragraph" w:styleId="af0">
    <w:name w:val="List"/>
    <w:basedOn w:val="a0"/>
    <w:qFormat/>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pPr>
      <w:tabs>
        <w:tab w:val="clear" w:pos="360"/>
      </w:tabs>
      <w:spacing w:after="60"/>
      <w:ind w:left="1080" w:hanging="357"/>
    </w:pPr>
    <w:rPr>
      <w:rFonts w:ascii="Arial" w:hAnsi="Arial"/>
    </w:rPr>
  </w:style>
  <w:style w:type="paragraph" w:styleId="af1">
    <w:name w:val="Plain Text"/>
    <w:basedOn w:val="a0"/>
    <w:qFormat/>
    <w:rPr>
      <w:rFonts w:ascii="Courier New" w:eastAsia="MS Gothic" w:hAnsi="Courier New" w:cs="Times New Roman"/>
      <w:szCs w:val="20"/>
      <w:lang w:val="en-GB" w:eastAsia="ja-JP"/>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Pr>
      <w:rFonts w:ascii="Times New Roman" w:eastAsia="MS Gothic" w:hAnsi="Times New Roman" w:cs="Times New Roman"/>
      <w:szCs w:val="20"/>
      <w:lang w:val="en-GB" w:eastAsia="ja-JP"/>
    </w:rPr>
  </w:style>
  <w:style w:type="paragraph" w:styleId="22">
    <w:name w:val="Body Text Indent 2"/>
    <w:basedOn w:val="a0"/>
    <w:qFormat/>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endnote text"/>
    <w:basedOn w:val="a0"/>
    <w:link w:val="af3"/>
    <w:qFormat/>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paragraph" w:styleId="af4">
    <w:name w:val="Balloon Text"/>
    <w:basedOn w:val="a0"/>
    <w:link w:val="af5"/>
    <w:qFormat/>
    <w:rPr>
      <w:rFonts w:ascii="Arial" w:eastAsia="MS Gothic" w:hAnsi="Arial" w:cs="Times New Roman"/>
      <w:sz w:val="18"/>
      <w:szCs w:val="20"/>
      <w:lang w:val="en-GB" w:eastAsia="ja-JP"/>
    </w:rPr>
  </w:style>
  <w:style w:type="paragraph" w:styleId="af6">
    <w:name w:val="footer"/>
    <w:basedOn w:val="a0"/>
    <w:qFormat/>
    <w:pPr>
      <w:tabs>
        <w:tab w:val="center" w:pos="4536"/>
        <w:tab w:val="right" w:pos="9072"/>
      </w:tabs>
      <w:spacing w:before="120"/>
    </w:pPr>
    <w:rPr>
      <w:rFonts w:ascii="Times New Roman" w:eastAsia="MS Gothic" w:hAnsi="Times New Roman" w:cs="Times New Roman"/>
      <w:szCs w:val="20"/>
      <w:lang w:val="de-DE" w:eastAsia="ja-JP"/>
    </w:rPr>
  </w:style>
  <w:style w:type="paragraph" w:styleId="af7">
    <w:name w:val="header"/>
    <w:basedOn w:val="a0"/>
    <w:link w:val="af8"/>
    <w:qFormat/>
    <w:pPr>
      <w:widowControl w:val="0"/>
    </w:pPr>
    <w:rPr>
      <w:rFonts w:ascii="Arial" w:eastAsia="MS Mincho" w:hAnsi="Arial" w:cs="Times New Roman"/>
      <w:b/>
      <w:sz w:val="18"/>
      <w:szCs w:val="20"/>
      <w:lang w:val="en-GB" w:eastAsia="ja-JP"/>
    </w:rPr>
  </w:style>
  <w:style w:type="paragraph" w:styleId="af9">
    <w:name w:val="footnote text"/>
    <w:basedOn w:val="a0"/>
    <w:semiHidden/>
    <w:qFormat/>
    <w:pPr>
      <w:keepLines/>
      <w:ind w:left="454" w:hanging="454"/>
    </w:pPr>
    <w:rPr>
      <w:rFonts w:ascii="Times New Roman" w:eastAsia="MS Gothic" w:hAnsi="Times New Roman" w:cs="Times New Roman"/>
      <w:sz w:val="16"/>
      <w:szCs w:val="20"/>
      <w:lang w:val="en-GB" w:eastAsia="ja-JP"/>
    </w:rPr>
  </w:style>
  <w:style w:type="paragraph" w:styleId="afa">
    <w:name w:val="table of figures"/>
    <w:basedOn w:val="TOC1"/>
    <w:next w:val="a0"/>
    <w:semiHidden/>
    <w:qFormat/>
    <w:pPr>
      <w:tabs>
        <w:tab w:val="right" w:leader="dot" w:pos="9360"/>
      </w:tabs>
      <w:spacing w:before="120" w:after="120"/>
    </w:pPr>
    <w:rPr>
      <w:caps/>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pPr>
      <w:ind w:left="1418" w:hanging="1418"/>
    </w:pPr>
  </w:style>
  <w:style w:type="paragraph" w:styleId="afb">
    <w:name w:val="Normal (Web)"/>
    <w:basedOn w:val="a0"/>
    <w:uiPriority w:val="99"/>
    <w:unhideWhenUsed/>
    <w:qFormat/>
    <w:pPr>
      <w:spacing w:before="100" w:beforeAutospacing="1" w:after="100" w:afterAutospacing="1"/>
    </w:pPr>
    <w:rPr>
      <w:rFonts w:ascii="MS PGothic" w:eastAsia="MS PGothic" w:hAnsi="MS PGothic" w:cs="MS PGothic"/>
      <w:lang w:eastAsia="ja-JP"/>
    </w:rPr>
  </w:style>
  <w:style w:type="paragraph" w:styleId="afc">
    <w:name w:val="Title"/>
    <w:basedOn w:val="a0"/>
    <w:qFormat/>
    <w:pPr>
      <w:jc w:val="center"/>
    </w:pPr>
    <w:rPr>
      <w:rFonts w:ascii="Arial" w:eastAsia="MS Gothic" w:hAnsi="Arial" w:cs="Times New Roman"/>
      <w:b/>
      <w:szCs w:val="20"/>
      <w:lang w:val="en-GB" w:eastAsia="ja-JP"/>
    </w:rPr>
  </w:style>
  <w:style w:type="paragraph" w:styleId="afd">
    <w:name w:val="annotation subject"/>
    <w:basedOn w:val="aa"/>
    <w:next w:val="aa"/>
    <w:link w:val="afe"/>
    <w:qFormat/>
    <w:rPr>
      <w:b/>
      <w:sz w:val="24"/>
    </w:rPr>
  </w:style>
  <w:style w:type="table" w:styleId="aff">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qFormat/>
    <w:rPr>
      <w:b/>
      <w:bCs/>
    </w:rPr>
  </w:style>
  <w:style w:type="character" w:styleId="aff1">
    <w:name w:val="page number"/>
    <w:qFormat/>
    <w:rPr>
      <w:rFonts w:eastAsia="Times New Roman"/>
      <w:kern w:val="2"/>
      <w:sz w:val="21"/>
      <w:lang w:val="en-GB"/>
    </w:rPr>
  </w:style>
  <w:style w:type="character" w:styleId="aff2">
    <w:name w:val="FollowedHyperlink"/>
    <w:qFormat/>
    <w:rPr>
      <w:rFonts w:eastAsia="Times New Roman"/>
      <w:color w:val="800080"/>
      <w:kern w:val="2"/>
      <w:sz w:val="21"/>
      <w:u w:val="single"/>
      <w:lang w:val="en-GB"/>
    </w:rPr>
  </w:style>
  <w:style w:type="character" w:styleId="aff3">
    <w:name w:val="Hyperlink"/>
    <w:uiPriority w:val="99"/>
    <w:qFormat/>
    <w:rPr>
      <w:rFonts w:eastAsia="Times New Roman"/>
      <w:color w:val="0000FF"/>
      <w:kern w:val="2"/>
      <w:sz w:val="21"/>
      <w:u w:val="single"/>
      <w:lang w:val="en-GB"/>
    </w:rPr>
  </w:style>
  <w:style w:type="character" w:styleId="aff4">
    <w:name w:val="annotation reference"/>
    <w:uiPriority w:val="99"/>
    <w:qFormat/>
    <w:rPr>
      <w:rFonts w:eastAsia="Times New Roman"/>
      <w:kern w:val="2"/>
      <w:sz w:val="16"/>
      <w:lang w:val="en-GB"/>
    </w:rPr>
  </w:style>
  <w:style w:type="character" w:styleId="aff5">
    <w:name w:val="footnote reference"/>
    <w:semiHidden/>
    <w:qFormat/>
    <w:rPr>
      <w:rFonts w:eastAsia="Times New Roman"/>
      <w:b/>
      <w:kern w:val="2"/>
      <w:position w:val="6"/>
      <w:sz w:val="16"/>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8">
    <w:name w:val="页眉 字符"/>
    <w:link w:val="af7"/>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Pr>
      <w:rFonts w:ascii="Arial" w:eastAsia="MS Gothic"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qFormat/>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pPr>
      <w:spacing w:before="100" w:after="100"/>
      <w:ind w:left="860"/>
    </w:pPr>
    <w:rPr>
      <w:rFonts w:ascii="Times" w:eastAsia="MS Gothic" w:hAnsi="Times" w:cs="Times New Roman"/>
      <w:szCs w:val="20"/>
      <w:lang w:val="en-GB" w:eastAsia="ja-JP"/>
    </w:rPr>
  </w:style>
  <w:style w:type="paragraph" w:customStyle="1" w:styleId="a">
    <w:name w:val="佐藤２"/>
    <w:basedOn w:val="a0"/>
    <w:qFormat/>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eastAsia="MS Gothic" w:hAnsi="Arial" w:cs="Times New Roman"/>
      <w:b/>
      <w:sz w:val="22"/>
      <w:szCs w:val="20"/>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rFonts w:ascii="Times New Roman" w:eastAsia="MS Gothic" w:hAnsi="Times New Roman" w:cs="Times New Roman"/>
      <w:b/>
      <w:szCs w:val="20"/>
      <w:lang w:val="en-GB" w:eastAsia="ja-JP"/>
    </w:rPr>
  </w:style>
  <w:style w:type="character" w:customStyle="1" w:styleId="af5">
    <w:name w:val="批注框文本 字符"/>
    <w:link w:val="af4"/>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e">
    <w:name w:val="批注主题 字符"/>
    <w:basedOn w:val="ab"/>
    <w:link w:val="afd"/>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0">
    <w:name w:val="修訂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リ"/>
    <w:basedOn w:val="a0"/>
    <w:link w:val="aff8"/>
    <w:uiPriority w:val="34"/>
    <w:qFormat/>
    <w:pPr>
      <w:ind w:leftChars="400" w:left="840"/>
    </w:pPr>
    <w:rPr>
      <w:rFonts w:ascii="Times New Roman" w:eastAsia="MS Gothic" w:hAnsi="Times New Roman" w:cs="Times New Roman"/>
      <w:szCs w:val="20"/>
      <w:lang w:val="en-GB" w:eastAsia="ja-JP"/>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qFormat/>
    <w:rPr>
      <w:rFonts w:ascii="Times New Roman" w:eastAsia="MS Gothic" w:hAnsi="Times New Roman"/>
      <w:b/>
      <w:color w:val="FF0000"/>
      <w:sz w:val="24"/>
      <w:szCs w:val="21"/>
    </w:rPr>
  </w:style>
  <w:style w:type="character" w:customStyle="1" w:styleId="ad">
    <w:name w:val="结束语 字符"/>
    <w:basedOn w:val="a1"/>
    <w:link w:val="ac"/>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e"/>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9">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cs="Times New Roman"/>
      <w:sz w:val="18"/>
      <w:szCs w:val="20"/>
      <w:lang w:val="en-GB"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Pr>
      <w:rFonts w:ascii="Times New Roman" w:eastAsiaTheme="minorEastAsia"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qFormat/>
    <w:rPr>
      <w:rFonts w:eastAsia="宋体" w:cs="Times"/>
      <w:sz w:val="24"/>
      <w:szCs w:val="24"/>
    </w:rPr>
  </w:style>
  <w:style w:type="paragraph" w:customStyle="1" w:styleId="Style1">
    <w:name w:val="Style1"/>
    <w:basedOn w:val="a0"/>
    <w:qFormat/>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pPr>
      <w:numPr>
        <w:ilvl w:val="1"/>
        <w:numId w:val="6"/>
      </w:numPr>
    </w:pPr>
    <w:rPr>
      <w:rFonts w:ascii="Times" w:eastAsia="Batang" w:hAnsi="Times" w:cs="Times New Roman"/>
      <w:sz w:val="20"/>
      <w:lang w:val="en-GB" w:eastAsia="en-US"/>
    </w:rPr>
  </w:style>
  <w:style w:type="character" w:customStyle="1" w:styleId="BulletsChar">
    <w:name w:val="Bullets Char"/>
    <w:link w:val="Bullets"/>
    <w:qFormat/>
    <w:rPr>
      <w:rFonts w:ascii="Times New Roman" w:eastAsia="Batang" w:hAnsi="Times New Roman"/>
      <w:bCs/>
      <w:iCs/>
      <w:sz w:val="24"/>
      <w:szCs w:val="24"/>
      <w:lang w:val="en-GB" w:eastAsia="en-US"/>
    </w:rPr>
  </w:style>
  <w:style w:type="paragraph" w:customStyle="1" w:styleId="bullet3">
    <w:name w:val="bullet3"/>
    <w:basedOn w:val="a0"/>
    <w:qFormat/>
    <w:pPr>
      <w:numPr>
        <w:ilvl w:val="2"/>
        <w:numId w:val="6"/>
      </w:numPr>
    </w:pPr>
    <w:rPr>
      <w:rFonts w:ascii="Times" w:eastAsia="Batang" w:hAnsi="Times" w:cs="Times New Roman"/>
      <w:sz w:val="20"/>
      <w:lang w:val="en-GB" w:eastAsia="en-US"/>
    </w:rPr>
  </w:style>
  <w:style w:type="paragraph" w:customStyle="1" w:styleId="bullet4">
    <w:name w:val="bullet4"/>
    <w:basedOn w:val="a0"/>
    <w:qFormat/>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style>
  <w:style w:type="character" w:customStyle="1" w:styleId="TANChar">
    <w:name w:val="TAN Char"/>
    <w:link w:val="TAN"/>
    <w:qFormat/>
    <w:rPr>
      <w:rFonts w:ascii="Arial" w:eastAsiaTheme="minorEastAsia" w:hAnsi="Arial"/>
      <w:sz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fi-FI" w:eastAsia="fi-FI"/>
    </w:rPr>
  </w:style>
  <w:style w:type="character" w:customStyle="1" w:styleId="affa">
    <w:name w:val="本文 字元"/>
    <w:basedOn w:val="a1"/>
    <w:link w:val="14"/>
    <w:qFormat/>
    <w:locked/>
    <w:rPr>
      <w:rFonts w:cs="Times"/>
    </w:rPr>
  </w:style>
  <w:style w:type="paragraph" w:customStyle="1" w:styleId="14">
    <w:name w:val="本文1"/>
    <w:basedOn w:val="a0"/>
    <w:link w:val="affa"/>
    <w:qFormat/>
    <w:pPr>
      <w:spacing w:after="120"/>
      <w:jc w:val="both"/>
    </w:pPr>
    <w:rPr>
      <w:rFonts w:ascii="Times" w:eastAsia="MS Mincho" w:hAnsi="Times" w:cs="Times"/>
      <w:sz w:val="20"/>
      <w:szCs w:val="20"/>
      <w:lang w:eastAsia="ja-JP"/>
    </w:rPr>
  </w:style>
  <w:style w:type="character" w:customStyle="1" w:styleId="40">
    <w:name w:val="标题 4 字符"/>
    <w:basedOn w:val="a1"/>
    <w:link w:val="4"/>
    <w:qFormat/>
    <w:rPr>
      <w:rFonts w:ascii="Arial" w:eastAsia="MS Gothic" w:hAnsi="Arial"/>
      <w:i/>
      <w:sz w:val="24"/>
      <w:lang w:val="en-GB"/>
    </w:rPr>
  </w:style>
  <w:style w:type="paragraph" w:customStyle="1" w:styleId="affb">
    <w:name w:val="a"/>
    <w:basedOn w:val="a0"/>
    <w:uiPriority w:val="99"/>
    <w:qFormat/>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qFormat/>
  </w:style>
  <w:style w:type="character" w:customStyle="1" w:styleId="TALChar">
    <w:name w:val="TAL Char"/>
    <w:qFormat/>
    <w:rPr>
      <w:rFonts w:ascii="Arial" w:eastAsia="PMingLiU" w:hAnsi="Arial" w:cs="Times New Roman"/>
      <w:kern w:val="2"/>
      <w:sz w:val="18"/>
    </w:r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af3">
    <w:name w:val="尾注文本 字符"/>
    <w:basedOn w:val="a1"/>
    <w:link w:val="af2"/>
    <w:qFormat/>
    <w:rPr>
      <w:rFonts w:ascii="Times New Roman" w:eastAsia="Yu Mincho" w:hAnsi="Times New Roman"/>
      <w:lang w:val="en-GB" w:eastAsia="en-US"/>
    </w:rPr>
  </w:style>
  <w:style w:type="paragraph" w:customStyle="1" w:styleId="paragraph">
    <w:name w:val="paragraph"/>
    <w:basedOn w:val="a0"/>
    <w:qFormat/>
    <w:pPr>
      <w:spacing w:before="100" w:beforeAutospacing="1" w:after="100" w:afterAutospacing="1"/>
    </w:pPr>
    <w:rPr>
      <w:rFonts w:ascii="PMingLiU" w:eastAsia="PMingLiU" w:hAnsi="PMingLiU" w:cs="PMingLiU"/>
      <w:lang w:eastAsia="zh-TW"/>
    </w:rPr>
  </w:style>
  <w:style w:type="character" w:customStyle="1" w:styleId="eop">
    <w:name w:val="eop"/>
    <w:basedOn w:val="a1"/>
    <w:qFormat/>
  </w:style>
  <w:style w:type="character" w:customStyle="1" w:styleId="a7">
    <w:name w:val="题注 字符"/>
    <w:link w:val="a6"/>
    <w:qFormat/>
    <w:locked/>
    <w:rPr>
      <w:rFonts w:ascii="Times New Roman" w:eastAsia="MS Gothic" w:hAnsi="Times New Roman"/>
      <w:b/>
      <w:sz w:val="24"/>
      <w:lang w:val="en-GB" w:eastAsia="ja-JP"/>
    </w:rPr>
  </w:style>
  <w:style w:type="character" w:customStyle="1" w:styleId="msoins0">
    <w:name w:val="msoins"/>
    <w:basedOn w:val="a1"/>
    <w:qFormat/>
  </w:style>
  <w:style w:type="paragraph" w:customStyle="1" w:styleId="tah0">
    <w:name w:val="tah"/>
    <w:basedOn w:val="a0"/>
    <w:qFormat/>
    <w:pPr>
      <w:spacing w:before="100" w:beforeAutospacing="1" w:after="100" w:afterAutospacing="1"/>
    </w:pPr>
  </w:style>
  <w:style w:type="paragraph" w:customStyle="1" w:styleId="tan0">
    <w:name w:val="tan"/>
    <w:basedOn w:val="a0"/>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1008</Words>
  <Characters>5750</Characters>
  <Application>Microsoft Office Word</Application>
  <DocSecurity>0</DocSecurity>
  <Lines>47</Lines>
  <Paragraphs>13</Paragraphs>
  <ScaleCrop>false</ScaleCrop>
  <Company>NTTDoCoMo</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liuxiaofeng@ritt.cn</cp:lastModifiedBy>
  <cp:revision>14</cp:revision>
  <cp:lastPrinted>2017-08-09T04:40:00Z</cp:lastPrinted>
  <dcterms:created xsi:type="dcterms:W3CDTF">2025-08-15T07:16:00Z</dcterms:created>
  <dcterms:modified xsi:type="dcterms:W3CDTF">2025-10-03T07:07:00Z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2052-12.8.2.18205</vt:lpwstr>
  </property>
  <property fmtid="{D5CDD505-2E9C-101B-9397-08002B2CF9AE}" pid="19" name="_dlc_DocIdItemGuid">
    <vt:lpwstr>a5e9590f-2451-4cf0-bb02-8aa0e890fefb</vt:lpwstr>
  </property>
  <property fmtid="{D5CDD505-2E9C-101B-9397-08002B2CF9AE}" pid="20" name="ICV">
    <vt:lpwstr>D9FACAE21E4647DC8426197C7497165D_12</vt:lpwstr>
  </property>
</Properties>
</file>